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right="0" w:rightChars="0"/>
        <w:jc w:val="center"/>
        <w:textAlignment w:val="auto"/>
        <w:outlineLvl w:val="9"/>
        <w:rPr>
          <w:rFonts w:hint="eastAsia" w:ascii="方正小标宋_GBK" w:hAnsi="方正小标宋_GBK" w:eastAsia="方正小标宋_GBK" w:cs="方正小标宋_GBK"/>
          <w:sz w:val="40"/>
          <w:szCs w:val="40"/>
          <w:lang w:val="en-US"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right="0" w:rightChars="0"/>
        <w:jc w:val="center"/>
        <w:textAlignment w:val="auto"/>
        <w:outlineLvl w:val="9"/>
        <w:rPr>
          <w:rFonts w:hint="eastAsia" w:ascii="方正小标宋简体" w:hAnsi="方正小标宋简体" w:eastAsia="方正小标宋简体" w:cs="方正小标宋简体"/>
          <w:sz w:val="44"/>
          <w:szCs w:val="44"/>
          <w:lang w:eastAsia="zh-CN"/>
        </w:rPr>
      </w:pPr>
      <w:bookmarkStart w:id="0" w:name="_GoBack"/>
      <w:r>
        <w:rPr>
          <w:rFonts w:hint="eastAsia" w:ascii="方正小标宋简体" w:hAnsi="方正小标宋简体" w:eastAsia="方正小标宋简体" w:cs="方正小标宋简体"/>
          <w:sz w:val="44"/>
          <w:szCs w:val="44"/>
          <w:lang w:val="en-US" w:eastAsia="zh-CN"/>
        </w:rPr>
        <w:t>云南省地方金融监督管理局</w:t>
      </w:r>
      <w:r>
        <w:rPr>
          <w:rFonts w:hint="eastAsia" w:ascii="方正小标宋简体" w:hAnsi="方正小标宋简体" w:eastAsia="方正小标宋简体" w:cs="方正小标宋简体"/>
          <w:sz w:val="44"/>
          <w:szCs w:val="44"/>
          <w:lang w:eastAsia="zh-CN"/>
        </w:rPr>
        <w:t>201</w:t>
      </w:r>
      <w:r>
        <w:rPr>
          <w:rFonts w:hint="eastAsia" w:ascii="方正小标宋简体" w:hAnsi="方正小标宋简体" w:eastAsia="方正小标宋简体" w:cs="方正小标宋简体"/>
          <w:sz w:val="44"/>
          <w:szCs w:val="44"/>
          <w:lang w:val="en-US" w:eastAsia="zh-CN"/>
        </w:rPr>
        <w:t>8</w:t>
      </w:r>
      <w:r>
        <w:rPr>
          <w:rFonts w:hint="eastAsia" w:ascii="方正小标宋简体" w:hAnsi="方正小标宋简体" w:eastAsia="方正小标宋简体" w:cs="方正小标宋简体"/>
          <w:sz w:val="44"/>
          <w:szCs w:val="44"/>
          <w:lang w:eastAsia="zh-CN"/>
        </w:rPr>
        <w:t>年</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right="0" w:right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政府信息公开工作年度报告</w:t>
      </w:r>
    </w:p>
    <w:bookmarkEnd w:id="0"/>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right="0" w:rightChars="0"/>
        <w:jc w:val="both"/>
        <w:textAlignment w:val="auto"/>
        <w:outlineLvl w:val="9"/>
        <w:rPr>
          <w:rFonts w:hint="eastAsia" w:ascii="仿宋_GB2312" w:hAnsi="仿宋_GB2312" w:eastAsia="仿宋_GB2312" w:cs="仿宋_GB2312"/>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方正黑体简体" w:hAnsi="方正黑体简体" w:eastAsia="方正黑体简体" w:cs="方正黑体简体"/>
          <w:sz w:val="32"/>
          <w:szCs w:val="32"/>
          <w:lang w:eastAsia="zh-CN"/>
        </w:rPr>
      </w:pPr>
      <w:r>
        <w:rPr>
          <w:rFonts w:hint="eastAsia" w:ascii="方正黑体简体" w:hAnsi="方正黑体简体" w:eastAsia="方正黑体简体" w:cs="方正黑体简体"/>
          <w:sz w:val="32"/>
          <w:szCs w:val="32"/>
          <w:lang w:eastAsia="zh-CN"/>
        </w:rPr>
        <w:t>引言</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方正仿宋简体" w:hAnsi="方正仿宋简体" w:eastAsia="方正仿宋简体" w:cs="方正仿宋简体"/>
          <w:b w:val="0"/>
          <w:i w:val="0"/>
          <w:caps w:val="0"/>
          <w:color w:val="333333"/>
          <w:spacing w:val="0"/>
          <w:sz w:val="32"/>
          <w:szCs w:val="32"/>
          <w:shd w:val="clear" w:fill="FFFFFF"/>
        </w:rPr>
        <w:t>根据《中华人民共和国政府信息公开条例》（以下简称条例）、《云南省人民政府办公厅关于全面推进全省政务公开工作实施细则的通知》（云政办发〔2017〕22号）、《云南省人民政府办公厅关于印发云南省贯彻落实国务院办公厅</w:t>
      </w:r>
      <w:r>
        <w:rPr>
          <w:rFonts w:hint="eastAsia" w:ascii="方正仿宋简体" w:hAnsi="方正仿宋简体" w:eastAsia="方正仿宋简体" w:cs="方正仿宋简体"/>
          <w:b w:val="0"/>
          <w:i w:val="0"/>
          <w:caps w:val="0"/>
          <w:color w:val="333333"/>
          <w:spacing w:val="0"/>
          <w:sz w:val="32"/>
          <w:szCs w:val="32"/>
          <w:shd w:val="clear" w:fill="FFFFFF"/>
          <w:lang w:val="en-US" w:eastAsia="zh-CN"/>
        </w:rPr>
        <w:t>2017</w:t>
      </w:r>
      <w:r>
        <w:rPr>
          <w:rFonts w:hint="eastAsia" w:ascii="方正仿宋简体" w:hAnsi="方正仿宋简体" w:eastAsia="方正仿宋简体" w:cs="方正仿宋简体"/>
          <w:b w:val="0"/>
          <w:i w:val="0"/>
          <w:caps w:val="0"/>
          <w:color w:val="333333"/>
          <w:spacing w:val="0"/>
          <w:sz w:val="32"/>
          <w:szCs w:val="32"/>
          <w:shd w:val="clear" w:fill="FFFFFF"/>
        </w:rPr>
        <w:t>年政务公开工作要点分工方案的通知》(云政办发〔2017〕41号)、《云南省人民政府办公厅关于做好2017年政府信息公开工作年度报告编制和公布工作的通知》（云府办明电﹝2018﹞3号）要求，现向社会公布201</w:t>
      </w:r>
      <w:r>
        <w:rPr>
          <w:rFonts w:hint="eastAsia" w:ascii="方正仿宋简体" w:hAnsi="方正仿宋简体" w:eastAsia="方正仿宋简体" w:cs="方正仿宋简体"/>
          <w:b w:val="0"/>
          <w:i w:val="0"/>
          <w:caps w:val="0"/>
          <w:color w:val="333333"/>
          <w:spacing w:val="0"/>
          <w:sz w:val="32"/>
          <w:szCs w:val="32"/>
          <w:shd w:val="clear" w:fill="FFFFFF"/>
          <w:lang w:val="en-US" w:eastAsia="zh-CN"/>
        </w:rPr>
        <w:t>8</w:t>
      </w:r>
      <w:r>
        <w:rPr>
          <w:rFonts w:hint="eastAsia" w:ascii="方正仿宋简体" w:hAnsi="方正仿宋简体" w:eastAsia="方正仿宋简体" w:cs="方正仿宋简体"/>
          <w:b w:val="0"/>
          <w:i w:val="0"/>
          <w:caps w:val="0"/>
          <w:color w:val="333333"/>
          <w:spacing w:val="0"/>
          <w:sz w:val="32"/>
          <w:szCs w:val="32"/>
          <w:shd w:val="clear" w:fill="FFFFFF"/>
        </w:rPr>
        <w:t>年度云南省</w:t>
      </w:r>
      <w:r>
        <w:rPr>
          <w:rFonts w:hint="eastAsia" w:ascii="方正仿宋简体" w:hAnsi="方正仿宋简体" w:eastAsia="方正仿宋简体" w:cs="方正仿宋简体"/>
          <w:b w:val="0"/>
          <w:i w:val="0"/>
          <w:caps w:val="0"/>
          <w:color w:val="333333"/>
          <w:spacing w:val="0"/>
          <w:sz w:val="32"/>
          <w:szCs w:val="32"/>
          <w:shd w:val="clear" w:fill="FFFFFF"/>
          <w:lang w:eastAsia="zh-CN"/>
        </w:rPr>
        <w:t>地方金融监督管理局</w:t>
      </w:r>
      <w:r>
        <w:rPr>
          <w:rFonts w:hint="eastAsia" w:ascii="方正仿宋简体" w:hAnsi="方正仿宋简体" w:eastAsia="方正仿宋简体" w:cs="方正仿宋简体"/>
          <w:b w:val="0"/>
          <w:i w:val="0"/>
          <w:caps w:val="0"/>
          <w:color w:val="333333"/>
          <w:spacing w:val="0"/>
          <w:sz w:val="32"/>
          <w:szCs w:val="32"/>
          <w:shd w:val="clear" w:fill="FFFFFF"/>
        </w:rPr>
        <w:t>政府信息公开工作年度报告。本报告由概述，主动公开情况，依申请公开情况，行政复议、行政诉讼情况，存在的主要问题及改进措施</w:t>
      </w:r>
      <w:r>
        <w:rPr>
          <w:rFonts w:hint="eastAsia" w:ascii="方正仿宋简体" w:hAnsi="方正仿宋简体" w:eastAsia="方正仿宋简体" w:cs="方正仿宋简体"/>
          <w:b w:val="0"/>
          <w:i w:val="0"/>
          <w:caps w:val="0"/>
          <w:color w:val="333333"/>
          <w:spacing w:val="0"/>
          <w:sz w:val="32"/>
          <w:szCs w:val="32"/>
          <w:shd w:val="clear" w:fill="FFFFFF"/>
          <w:lang w:eastAsia="zh-CN"/>
        </w:rPr>
        <w:t>，其他事项六</w:t>
      </w:r>
      <w:r>
        <w:rPr>
          <w:rFonts w:hint="eastAsia" w:ascii="方正仿宋简体" w:hAnsi="方正仿宋简体" w:eastAsia="方正仿宋简体" w:cs="方正仿宋简体"/>
          <w:b w:val="0"/>
          <w:i w:val="0"/>
          <w:caps w:val="0"/>
          <w:color w:val="333333"/>
          <w:spacing w:val="0"/>
          <w:sz w:val="32"/>
          <w:szCs w:val="32"/>
          <w:shd w:val="clear" w:fill="FFFFFF"/>
        </w:rPr>
        <w:t>个部分组成。本报告中所列数据的统计期限自201</w:t>
      </w:r>
      <w:r>
        <w:rPr>
          <w:rFonts w:hint="eastAsia" w:ascii="方正仿宋简体" w:hAnsi="方正仿宋简体" w:eastAsia="方正仿宋简体" w:cs="方正仿宋简体"/>
          <w:b w:val="0"/>
          <w:i w:val="0"/>
          <w:caps w:val="0"/>
          <w:color w:val="333333"/>
          <w:spacing w:val="0"/>
          <w:sz w:val="32"/>
          <w:szCs w:val="32"/>
          <w:shd w:val="clear" w:fill="FFFFFF"/>
          <w:lang w:val="en-US" w:eastAsia="zh-CN"/>
        </w:rPr>
        <w:t>8</w:t>
      </w:r>
      <w:r>
        <w:rPr>
          <w:rFonts w:hint="eastAsia" w:ascii="方正仿宋简体" w:hAnsi="方正仿宋简体" w:eastAsia="方正仿宋简体" w:cs="方正仿宋简体"/>
          <w:b w:val="0"/>
          <w:i w:val="0"/>
          <w:caps w:val="0"/>
          <w:color w:val="333333"/>
          <w:spacing w:val="0"/>
          <w:sz w:val="32"/>
          <w:szCs w:val="32"/>
          <w:shd w:val="clear" w:fill="FFFFFF"/>
        </w:rPr>
        <w:t>年1月1日起至201</w:t>
      </w:r>
      <w:r>
        <w:rPr>
          <w:rFonts w:hint="eastAsia" w:ascii="方正仿宋简体" w:hAnsi="方正仿宋简体" w:eastAsia="方正仿宋简体" w:cs="方正仿宋简体"/>
          <w:b w:val="0"/>
          <w:i w:val="0"/>
          <w:caps w:val="0"/>
          <w:color w:val="333333"/>
          <w:spacing w:val="0"/>
          <w:sz w:val="32"/>
          <w:szCs w:val="32"/>
          <w:shd w:val="clear" w:fill="FFFFFF"/>
          <w:lang w:val="en-US" w:eastAsia="zh-CN"/>
        </w:rPr>
        <w:t>8</w:t>
      </w:r>
      <w:r>
        <w:rPr>
          <w:rFonts w:hint="eastAsia" w:ascii="方正仿宋简体" w:hAnsi="方正仿宋简体" w:eastAsia="方正仿宋简体" w:cs="方正仿宋简体"/>
          <w:b w:val="0"/>
          <w:i w:val="0"/>
          <w:caps w:val="0"/>
          <w:color w:val="333333"/>
          <w:spacing w:val="0"/>
          <w:sz w:val="32"/>
          <w:szCs w:val="32"/>
          <w:shd w:val="clear" w:fill="FFFFFF"/>
        </w:rPr>
        <w:t>年12月31日止。本报告的电子版可在“云南省</w:t>
      </w:r>
      <w:r>
        <w:rPr>
          <w:rFonts w:hint="eastAsia" w:ascii="方正仿宋简体" w:hAnsi="方正仿宋简体" w:eastAsia="方正仿宋简体" w:cs="方正仿宋简体"/>
          <w:b w:val="0"/>
          <w:i w:val="0"/>
          <w:caps w:val="0"/>
          <w:color w:val="333333"/>
          <w:spacing w:val="0"/>
          <w:sz w:val="32"/>
          <w:szCs w:val="32"/>
          <w:shd w:val="clear" w:fill="FFFFFF"/>
          <w:lang w:eastAsia="zh-CN"/>
        </w:rPr>
        <w:t>地方金融监督管理局</w:t>
      </w:r>
      <w:r>
        <w:rPr>
          <w:rFonts w:hint="eastAsia" w:ascii="方正仿宋简体" w:hAnsi="方正仿宋简体" w:eastAsia="方正仿宋简体" w:cs="方正仿宋简体"/>
          <w:b w:val="0"/>
          <w:i w:val="0"/>
          <w:caps w:val="0"/>
          <w:color w:val="333333"/>
          <w:spacing w:val="0"/>
          <w:sz w:val="32"/>
          <w:szCs w:val="32"/>
          <w:shd w:val="clear" w:fill="FFFFFF"/>
        </w:rPr>
        <w:t>网站</w:t>
      </w:r>
      <w:r>
        <w:rPr>
          <w:rFonts w:hint="eastAsia" w:ascii="方正仿宋简体" w:hAnsi="方正仿宋简体" w:eastAsia="方正仿宋简体" w:cs="方正仿宋简体"/>
          <w:b w:val="0"/>
          <w:i w:val="0"/>
          <w:caps w:val="0"/>
          <w:color w:val="333333"/>
          <w:spacing w:val="0"/>
          <w:sz w:val="32"/>
          <w:szCs w:val="32"/>
          <w:shd w:val="clear" w:fill="FFFFFF"/>
          <w:lang w:eastAsia="zh-CN"/>
        </w:rPr>
        <w:t>（云金融）</w:t>
      </w:r>
      <w:r>
        <w:rPr>
          <w:rFonts w:hint="eastAsia" w:ascii="方正仿宋简体" w:hAnsi="方正仿宋简体" w:eastAsia="方正仿宋简体" w:cs="方正仿宋简体"/>
          <w:b w:val="0"/>
          <w:i w:val="0"/>
          <w:caps w:val="0"/>
          <w:color w:val="333333"/>
          <w:spacing w:val="0"/>
          <w:sz w:val="32"/>
          <w:szCs w:val="32"/>
          <w:shd w:val="clear" w:fill="FFFFFF"/>
        </w:rPr>
        <w:t>”下载。如对本报告有任何疑问，请与云南省</w:t>
      </w:r>
      <w:r>
        <w:rPr>
          <w:rFonts w:hint="eastAsia" w:ascii="方正仿宋简体" w:hAnsi="方正仿宋简体" w:eastAsia="方正仿宋简体" w:cs="方正仿宋简体"/>
          <w:b w:val="0"/>
          <w:i w:val="0"/>
          <w:caps w:val="0"/>
          <w:color w:val="333333"/>
          <w:spacing w:val="0"/>
          <w:sz w:val="32"/>
          <w:szCs w:val="32"/>
          <w:shd w:val="clear" w:fill="FFFFFF"/>
          <w:lang w:eastAsia="zh-CN"/>
        </w:rPr>
        <w:t>地方金融监督管理局</w:t>
      </w:r>
      <w:r>
        <w:rPr>
          <w:rFonts w:hint="eastAsia" w:ascii="方正仿宋简体" w:hAnsi="方正仿宋简体" w:eastAsia="方正仿宋简体" w:cs="方正仿宋简体"/>
          <w:b w:val="0"/>
          <w:i w:val="0"/>
          <w:caps w:val="0"/>
          <w:color w:val="333333"/>
          <w:spacing w:val="0"/>
          <w:sz w:val="32"/>
          <w:szCs w:val="32"/>
          <w:shd w:val="clear" w:fill="FFFFFF"/>
        </w:rPr>
        <w:t>政府信息公开领导小组办公室联系（地址：</w:t>
      </w:r>
      <w:r>
        <w:rPr>
          <w:rFonts w:hint="eastAsia" w:ascii="方正仿宋简体" w:hAnsi="方正仿宋简体" w:eastAsia="方正仿宋简体" w:cs="方正仿宋简体"/>
          <w:b w:val="0"/>
          <w:i w:val="0"/>
          <w:caps w:val="0"/>
          <w:color w:val="000000"/>
          <w:spacing w:val="0"/>
          <w:kern w:val="0"/>
          <w:sz w:val="32"/>
          <w:szCs w:val="32"/>
          <w:shd w:val="clear" w:fill="FFFFFF"/>
          <w:lang w:val="en-US" w:eastAsia="zh-CN" w:bidi="ar"/>
        </w:rPr>
        <w:t>昆明市北京路465号</w:t>
      </w:r>
      <w:r>
        <w:rPr>
          <w:rFonts w:hint="eastAsia" w:ascii="方正仿宋简体" w:hAnsi="方正仿宋简体" w:eastAsia="方正仿宋简体" w:cs="方正仿宋简体"/>
          <w:b w:val="0"/>
          <w:i w:val="0"/>
          <w:caps w:val="0"/>
          <w:color w:val="333333"/>
          <w:spacing w:val="0"/>
          <w:sz w:val="32"/>
          <w:szCs w:val="32"/>
          <w:shd w:val="clear" w:fill="FFFFFF"/>
        </w:rPr>
        <w:t>；邮编：</w:t>
      </w:r>
      <w:r>
        <w:rPr>
          <w:rFonts w:hint="eastAsia" w:ascii="方正仿宋简体" w:hAnsi="方正仿宋简体" w:eastAsia="方正仿宋简体" w:cs="方正仿宋简体"/>
          <w:b w:val="0"/>
          <w:i w:val="0"/>
          <w:caps w:val="0"/>
          <w:color w:val="000000"/>
          <w:spacing w:val="0"/>
          <w:kern w:val="0"/>
          <w:sz w:val="32"/>
          <w:szCs w:val="32"/>
          <w:shd w:val="clear" w:fill="FFFFFF"/>
          <w:lang w:val="en-US" w:eastAsia="zh-CN" w:bidi="ar"/>
        </w:rPr>
        <w:t>650051</w:t>
      </w:r>
      <w:r>
        <w:rPr>
          <w:rFonts w:hint="eastAsia" w:ascii="方正仿宋简体" w:hAnsi="方正仿宋简体" w:eastAsia="方正仿宋简体" w:cs="方正仿宋简体"/>
          <w:b w:val="0"/>
          <w:i w:val="0"/>
          <w:caps w:val="0"/>
          <w:color w:val="333333"/>
          <w:spacing w:val="0"/>
          <w:sz w:val="32"/>
          <w:szCs w:val="32"/>
          <w:shd w:val="clear" w:fill="FFFFFF"/>
        </w:rPr>
        <w:t>；电话：0871—</w:t>
      </w:r>
      <w:r>
        <w:rPr>
          <w:rFonts w:hint="eastAsia" w:ascii="方正仿宋简体" w:hAnsi="方正仿宋简体" w:eastAsia="方正仿宋简体" w:cs="方正仿宋简体"/>
          <w:b w:val="0"/>
          <w:i w:val="0"/>
          <w:caps w:val="0"/>
          <w:color w:val="000000"/>
          <w:spacing w:val="0"/>
          <w:kern w:val="0"/>
          <w:sz w:val="32"/>
          <w:szCs w:val="32"/>
          <w:shd w:val="clear" w:fill="FFFFFF"/>
          <w:lang w:val="en-US" w:eastAsia="zh-CN" w:bidi="ar"/>
        </w:rPr>
        <w:t>63136986</w:t>
      </w:r>
      <w:r>
        <w:rPr>
          <w:rFonts w:hint="eastAsia" w:ascii="方正仿宋简体" w:hAnsi="方正仿宋简体" w:eastAsia="方正仿宋简体" w:cs="方正仿宋简体"/>
          <w:b w:val="0"/>
          <w:i w:val="0"/>
          <w:caps w:val="0"/>
          <w:color w:val="333333"/>
          <w:spacing w:val="0"/>
          <w:sz w:val="32"/>
          <w:szCs w:val="32"/>
          <w:shd w:val="clear" w:fill="FFFFFF"/>
        </w:rPr>
        <w:t>；传真：0871—</w:t>
      </w:r>
      <w:r>
        <w:rPr>
          <w:rFonts w:hint="eastAsia" w:ascii="方正仿宋简体" w:hAnsi="方正仿宋简体" w:eastAsia="方正仿宋简体" w:cs="方正仿宋简体"/>
          <w:b w:val="0"/>
          <w:i w:val="0"/>
          <w:caps w:val="0"/>
          <w:color w:val="000000"/>
          <w:spacing w:val="0"/>
          <w:kern w:val="0"/>
          <w:sz w:val="32"/>
          <w:szCs w:val="32"/>
          <w:shd w:val="clear" w:fill="FFFFFF"/>
          <w:lang w:val="en-US" w:eastAsia="zh-CN" w:bidi="ar"/>
        </w:rPr>
        <w:t>63139079</w:t>
      </w:r>
      <w:r>
        <w:rPr>
          <w:rFonts w:hint="eastAsia" w:ascii="方正仿宋简体" w:hAnsi="方正仿宋简体" w:eastAsia="方正仿宋简体" w:cs="方正仿宋简体"/>
          <w:b w:val="0"/>
          <w:i w:val="0"/>
          <w:caps w:val="0"/>
          <w:color w:val="333333"/>
          <w:spacing w:val="0"/>
          <w:sz w:val="32"/>
          <w:szCs w:val="32"/>
          <w:shd w:val="clear" w:fill="FFFFFF"/>
        </w:rPr>
        <w:t>）。</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黑体" w:hAnsi="黑体" w:eastAsia="黑体" w:cs="黑体"/>
          <w:sz w:val="32"/>
          <w:szCs w:val="32"/>
          <w:lang w:eastAsia="zh-CN"/>
        </w:rPr>
      </w:pPr>
      <w:r>
        <w:rPr>
          <w:rFonts w:hint="eastAsia" w:ascii="方正黑体简体" w:hAnsi="方正黑体简体" w:eastAsia="方正黑体简体" w:cs="方正黑体简体"/>
          <w:sz w:val="32"/>
          <w:szCs w:val="32"/>
          <w:lang w:eastAsia="zh-CN"/>
        </w:rPr>
        <w:t>一、概述</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201</w:t>
      </w:r>
      <w:r>
        <w:rPr>
          <w:rFonts w:hint="eastAsia" w:ascii="方正仿宋简体" w:hAnsi="方正仿宋简体" w:eastAsia="方正仿宋简体" w:cs="方正仿宋简体"/>
          <w:sz w:val="32"/>
          <w:szCs w:val="32"/>
          <w:lang w:val="en-US" w:eastAsia="zh-CN"/>
        </w:rPr>
        <w:t>8</w:t>
      </w:r>
      <w:r>
        <w:rPr>
          <w:rFonts w:hint="eastAsia" w:ascii="方正仿宋简体" w:hAnsi="方正仿宋简体" w:eastAsia="方正仿宋简体" w:cs="方正仿宋简体"/>
          <w:sz w:val="32"/>
          <w:szCs w:val="32"/>
          <w:lang w:eastAsia="zh-CN"/>
        </w:rPr>
        <w:t>年，省地方金融监督管理局对政府信息公开工作高度重视，认真贯彻落实《云南省人民政府办公厅关于全面推进全省政务公开工作实施细则的通知》（云政办发〔2017〕22号）和《云南省人民政府办公厅关于印发云南省贯彻落实国务院办公厅2017年政务公开工作要点分工方案的通知》(云政办发〔2017〕41号)，为确保政府信息与政务公开工作得到全面落实，局主要领导多次听取相关工作汇报，党组会议和办公会议多次对政府信息与政务公开工作进行研究部署。成立了局主要领导任组长、相关处室主要负责人为成员的政府信息公开工作领导小组，全面统筹协调省地方金融监督管理局政府信息与政务公开工作。</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结合工作实际，建立健全制度机制，原省金融办制定完善了</w:t>
      </w:r>
      <w:r>
        <w:rPr>
          <w:rFonts w:hint="eastAsia" w:ascii="方正仿宋简体" w:hAnsi="方正仿宋简体" w:eastAsia="方正仿宋简体" w:cs="方正仿宋简体"/>
          <w:sz w:val="32"/>
          <w:szCs w:val="32"/>
          <w:lang w:val="en-US" w:eastAsia="zh-CN"/>
        </w:rPr>
        <w:t>《云南省人民政府金融办公室政府文件公开属性审查制度》、《云南省人民政府金融办公室政策文件解读制度》等，按照《云南省人民政府金融办公室2018年政务公开工作要点实施方案》</w:t>
      </w:r>
      <w:r>
        <w:rPr>
          <w:rFonts w:hint="eastAsia" w:ascii="方正仿宋简体" w:hAnsi="方正仿宋简体" w:eastAsia="方正仿宋简体" w:cs="方正仿宋简体"/>
          <w:sz w:val="32"/>
          <w:szCs w:val="32"/>
          <w:lang w:eastAsia="zh-CN"/>
        </w:rPr>
        <w:t>，重点围绕“以政务公开助力稳增长”、“以政务公开助力促改革”、“以政务公开助力调结构”、“以政务公开助力惠民生”、“以政务公开助力防风险”和“增强政务公开实效”等六个方面下功夫，狠抓政府信息与政务公开工作，并严格执行保密审查制度，确保政府信息与政务公开工作安全、有序开展。</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二、主动公开政府信息情况</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val="en-US" w:eastAsia="zh-CN"/>
        </w:rPr>
        <w:t>严格落实“五公开”要求，坚持“公开是原则、不公开是例外”，按照《云南省人民政府办公厅关于印发云南省贯彻落实国务院办公厅2018年政务公开工作要点分工方案的通知》（云政办发〔2018〕36号）、《云南省人民政府办公厅关于全面推进全省政务公开工作实施细则的通知》（云政办发〔2017〕22号）等文件要求，全面推进政务公开工作，在我局网站（云金融）开设“信息公开”专栏，下设“通知公告”、“组织机构”、“主要领导”、“财务公开”、“政府文件”、“公开指南”、“公开目录”、“年度报告”、“依申请公开”9个子栏目对本单位的职能职责、内设机构、财务工作、政府文件、通知公告等信息进行主动公开。同时，为建立良好的政民互动关系，在我局网站开设了“局长信箱”栏目，对民众诉求进行回应。2018年度，省地方金融监管局按照</w:t>
      </w:r>
      <w:r>
        <w:rPr>
          <w:rFonts w:hint="eastAsia" w:ascii="方正仿宋简体" w:hAnsi="方正仿宋简体" w:eastAsia="方正仿宋简体" w:cs="方正仿宋简体"/>
          <w:sz w:val="32"/>
          <w:szCs w:val="32"/>
        </w:rPr>
        <w:t>《云南省信息公开保密审查管理规定》的要求</w:t>
      </w:r>
      <w:r>
        <w:rPr>
          <w:rFonts w:hint="eastAsia" w:ascii="方正仿宋简体" w:hAnsi="方正仿宋简体" w:eastAsia="方正仿宋简体" w:cs="方正仿宋简体"/>
          <w:sz w:val="32"/>
          <w:szCs w:val="32"/>
          <w:lang w:eastAsia="zh-CN"/>
        </w:rPr>
        <w:t>，经</w:t>
      </w:r>
      <w:r>
        <w:rPr>
          <w:rFonts w:hint="eastAsia" w:ascii="方正仿宋简体" w:hAnsi="方正仿宋简体" w:eastAsia="方正仿宋简体" w:cs="方正仿宋简体"/>
          <w:sz w:val="32"/>
          <w:szCs w:val="32"/>
        </w:rPr>
        <w:t>审查后在</w:t>
      </w:r>
      <w:r>
        <w:rPr>
          <w:rFonts w:hint="eastAsia" w:ascii="方正仿宋简体" w:hAnsi="方正仿宋简体" w:eastAsia="方正仿宋简体" w:cs="方正仿宋简体"/>
          <w:sz w:val="32"/>
          <w:szCs w:val="32"/>
          <w:lang w:eastAsia="zh-CN"/>
        </w:rPr>
        <w:t>省地方金融监管局</w:t>
      </w:r>
      <w:r>
        <w:rPr>
          <w:rFonts w:hint="eastAsia" w:ascii="方正仿宋简体" w:hAnsi="方正仿宋简体" w:eastAsia="方正仿宋简体" w:cs="方正仿宋简体"/>
          <w:sz w:val="32"/>
          <w:szCs w:val="32"/>
        </w:rPr>
        <w:t>网站公开</w:t>
      </w:r>
      <w:r>
        <w:rPr>
          <w:rFonts w:hint="eastAsia" w:ascii="方正仿宋简体" w:hAnsi="方正仿宋简体" w:eastAsia="方正仿宋简体" w:cs="方正仿宋简体"/>
          <w:sz w:val="32"/>
          <w:szCs w:val="32"/>
          <w:lang w:eastAsia="zh-CN"/>
        </w:rPr>
        <w:t>发</w:t>
      </w:r>
      <w:r>
        <w:rPr>
          <w:rFonts w:hint="eastAsia" w:ascii="方正仿宋简体" w:hAnsi="方正仿宋简体" w:eastAsia="方正仿宋简体" w:cs="方正仿宋简体"/>
          <w:sz w:val="32"/>
          <w:szCs w:val="32"/>
          <w:lang w:val="en-US" w:eastAsia="zh-CN"/>
        </w:rPr>
        <w:t>布通知公告23份，政策解读3份，财务信息5份。按要求对“三公”经费决算、人大代表建议办理情况、政协提案办理情况等我局涉及的事项均按照相关规定进行了主动公开。</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三、政府信息依申请公开办理情况</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严格按照政府信息公开相关规定办理依申请公开，2018年度共收到信息公开申请96份。其中，在“云南省人民政府依申请公开应用管理系统”中收到信息公开申请3份，在省地方金融监管局官方网站“依申请公开”栏目收到信息公开申请1份、“局长信箱”留言17份，邮寄方式的信息公开申请80份，以上信息公开申请均按照相关规定办理，并在规定时限内对申请人进行答复。</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四、因政府信息公开申请行政复议、提起行政诉讼的情况</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方正仿宋简体" w:hAnsi="方正仿宋简体" w:eastAsia="方正仿宋简体" w:cs="方正仿宋简体"/>
          <w:sz w:val="32"/>
          <w:szCs w:val="32"/>
          <w:lang w:val="en-US" w:eastAsia="zh-CN"/>
        </w:rPr>
        <w:t>省地方金融监管局</w:t>
      </w:r>
      <w:r>
        <w:rPr>
          <w:rFonts w:hint="eastAsia" w:ascii="仿宋_GB2312" w:hAnsi="仿宋_GB2312" w:eastAsia="仿宋_GB2312" w:cs="仿宋_GB2312"/>
          <w:sz w:val="32"/>
          <w:szCs w:val="32"/>
          <w:lang w:val="en-US" w:eastAsia="zh-CN"/>
        </w:rPr>
        <w:t>2018年度未发生与政府信息公开相关的行政复议、诉讼和申诉案件。</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五、存在的主要问题及改进措施</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outlineLvl w:val="9"/>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根据《云南省人民政府办公厅关于全面开展政务公开存在问题整改落实的通知》（云政办发〔</w:t>
      </w:r>
      <w:r>
        <w:rPr>
          <w:rFonts w:hint="eastAsia" w:ascii="方正仿宋简体" w:hAnsi="方正仿宋简体" w:eastAsia="方正仿宋简体" w:cs="方正仿宋简体"/>
          <w:sz w:val="32"/>
          <w:szCs w:val="32"/>
          <w:lang w:val="en-US" w:eastAsia="zh-CN"/>
        </w:rPr>
        <w:t>2018</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41号</w:t>
      </w:r>
      <w:r>
        <w:rPr>
          <w:rFonts w:hint="eastAsia" w:ascii="方正仿宋简体" w:hAnsi="方正仿宋简体" w:eastAsia="方正仿宋简体" w:cs="方正仿宋简体"/>
          <w:sz w:val="32"/>
          <w:szCs w:val="32"/>
          <w:lang w:eastAsia="zh-CN"/>
        </w:rPr>
        <w:t>）要求，省地方金融监管局高度重视，召开</w:t>
      </w:r>
      <w:r>
        <w:rPr>
          <w:rFonts w:hint="eastAsia" w:ascii="方正仿宋简体" w:hAnsi="方正仿宋简体" w:eastAsia="方正仿宋简体" w:cs="方正仿宋简体"/>
          <w:sz w:val="32"/>
          <w:szCs w:val="32"/>
          <w:lang w:val="en-US" w:eastAsia="zh-CN"/>
        </w:rPr>
        <w:t>办公会议对我局政务公开工作进行专题研究，</w:t>
      </w:r>
      <w:r>
        <w:rPr>
          <w:rFonts w:hint="eastAsia" w:ascii="方正仿宋简体" w:hAnsi="方正仿宋简体" w:eastAsia="方正仿宋简体" w:cs="方正仿宋简体"/>
          <w:sz w:val="32"/>
          <w:szCs w:val="32"/>
          <w:lang w:eastAsia="zh-CN"/>
        </w:rPr>
        <w:t>深入查找政务公开工作中存在的问题和薄弱环节，提出了政务公开工作</w:t>
      </w:r>
      <w:r>
        <w:rPr>
          <w:rFonts w:hint="eastAsia" w:ascii="方正仿宋简体" w:hAnsi="方正仿宋简体" w:eastAsia="方正仿宋简体" w:cs="方正仿宋简体"/>
          <w:sz w:val="32"/>
          <w:szCs w:val="32"/>
          <w:lang w:val="en-US" w:eastAsia="zh-CN"/>
        </w:rPr>
        <w:t>4</w:t>
      </w:r>
      <w:r>
        <w:rPr>
          <w:rFonts w:hint="eastAsia" w:ascii="方正仿宋简体" w:hAnsi="方正仿宋简体" w:eastAsia="方正仿宋简体" w:cs="方正仿宋简体"/>
          <w:sz w:val="32"/>
          <w:szCs w:val="32"/>
          <w:lang w:eastAsia="zh-CN"/>
        </w:rPr>
        <w:t>个方面问题及</w:t>
      </w:r>
      <w:r>
        <w:rPr>
          <w:rFonts w:hint="eastAsia" w:ascii="方正仿宋简体" w:hAnsi="方正仿宋简体" w:eastAsia="方正仿宋简体" w:cs="方正仿宋简体"/>
          <w:sz w:val="32"/>
          <w:szCs w:val="32"/>
          <w:lang w:val="en-US" w:eastAsia="zh-CN"/>
        </w:rPr>
        <w:t>8条整改措施。</w:t>
      </w:r>
      <w:r>
        <w:rPr>
          <w:rFonts w:hint="eastAsia" w:ascii="方正仿宋简体" w:hAnsi="方正仿宋简体" w:eastAsia="方正仿宋简体" w:cs="方正仿宋简体"/>
          <w:sz w:val="32"/>
          <w:szCs w:val="32"/>
          <w:lang w:eastAsia="zh-CN"/>
        </w:rPr>
        <w:t>经</w:t>
      </w:r>
      <w:r>
        <w:rPr>
          <w:rFonts w:hint="eastAsia" w:ascii="方正仿宋简体" w:hAnsi="方正仿宋简体" w:eastAsia="方正仿宋简体" w:cs="方正仿宋简体"/>
          <w:sz w:val="32"/>
          <w:szCs w:val="32"/>
          <w:lang w:val="en-US" w:eastAsia="zh-CN"/>
        </w:rPr>
        <w:t>办公会议审议通过后，印发</w:t>
      </w:r>
      <w:r>
        <w:rPr>
          <w:rFonts w:hint="eastAsia" w:ascii="方正仿宋简体" w:hAnsi="方正仿宋简体" w:eastAsia="方正仿宋简体" w:cs="方正仿宋简体"/>
          <w:sz w:val="32"/>
          <w:szCs w:val="32"/>
          <w:lang w:eastAsia="zh-CN"/>
        </w:rPr>
        <w:t>了《云南省金融办政务公开存在问题的整改方案》。并召开党组会议对政务公开问题整改工作进行安排部署，对标问题抓整改，立行立改抓落实，采取切实有效举措，针对政务公开工作中存在的问题和薄弱环节下大力气整改，确保取得实效</w:t>
      </w:r>
      <w:r>
        <w:rPr>
          <w:rFonts w:hint="eastAsia" w:ascii="方正仿宋简体" w:hAnsi="方正仿宋简体" w:eastAsia="方正仿宋简体" w:cs="方正仿宋简体"/>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outlineLvl w:val="9"/>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val="en-US" w:eastAsia="zh-CN"/>
        </w:rPr>
        <w:t>2019年</w:t>
      </w:r>
      <w:r>
        <w:rPr>
          <w:rFonts w:hint="eastAsia" w:ascii="方正仿宋简体" w:hAnsi="方正仿宋简体" w:eastAsia="方正仿宋简体" w:cs="方正仿宋简体"/>
          <w:sz w:val="32"/>
          <w:szCs w:val="32"/>
          <w:lang w:eastAsia="zh-CN"/>
        </w:rPr>
        <w:t>，省地方金融监督管理局将以习近平新时代中国特色社会主义思想为指导，深入贯彻落实党中央、国务院和省委、省政府决策部署，切实将全面推进政务公开工作列入重要议事日程，继续坚持政务公开工作与业务工作同研究、同部署、同考核、同推进、同落实，加强政策解读回应工作，拟定公开目录清单，提升政务公开工作实效，强化官方网站建设管理，推进政务公开制度化、规范化，确保年度政务公开各项工作任务落实到位。</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六、需要说明的其他事项与附表</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9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详见附件。</w:t>
      </w:r>
    </w:p>
    <w:p>
      <w:pPr>
        <w:keepNext w:val="0"/>
        <w:keepLines w:val="0"/>
        <w:pageBreakBefore w:val="0"/>
        <w:widowControl w:val="0"/>
        <w:kinsoku/>
        <w:wordWrap/>
        <w:overflowPunct/>
        <w:topLinePunct w:val="0"/>
        <w:autoSpaceDE/>
        <w:autoSpaceDN w:val="0"/>
        <w:bidi w:val="0"/>
        <w:adjustRightInd w:val="0"/>
        <w:snapToGrid w:val="0"/>
        <w:spacing w:line="590" w:lineRule="exact"/>
        <w:ind w:left="0" w:leftChars="0" w:right="0" w:rightChars="0" w:firstLine="0" w:firstLineChars="0"/>
        <w:jc w:val="left"/>
        <w:textAlignment w:val="auto"/>
        <w:outlineLvl w:val="9"/>
        <w:rPr>
          <w:rFonts w:hint="eastAsia" w:ascii="方正仿宋简体" w:hAnsi="方正仿宋简体" w:eastAsia="方正仿宋简体" w:cs="方正仿宋简体"/>
          <w:bCs/>
          <w:sz w:val="32"/>
          <w:szCs w:val="32"/>
          <w:lang w:eastAsia="zh-CN"/>
        </w:rPr>
      </w:pPr>
      <w:r>
        <w:rPr>
          <w:rFonts w:hint="eastAsia" w:ascii="方正仿宋简体" w:hAnsi="方正仿宋简体" w:eastAsia="方正仿宋简体" w:cs="方正仿宋简体"/>
          <w:bCs/>
          <w:sz w:val="32"/>
          <w:szCs w:val="32"/>
          <w:lang w:eastAsia="zh-CN"/>
        </w:rPr>
        <w:br w:type="page"/>
      </w:r>
    </w:p>
    <w:p>
      <w:pPr>
        <w:keepNext w:val="0"/>
        <w:keepLines w:val="0"/>
        <w:pageBreakBefore w:val="0"/>
        <w:widowControl w:val="0"/>
        <w:kinsoku/>
        <w:wordWrap/>
        <w:overflowPunct/>
        <w:topLinePunct w:val="0"/>
        <w:autoSpaceDE/>
        <w:autoSpaceDN w:val="0"/>
        <w:bidi w:val="0"/>
        <w:adjustRightInd w:val="0"/>
        <w:snapToGrid w:val="0"/>
        <w:spacing w:line="590" w:lineRule="exact"/>
        <w:ind w:left="0" w:leftChars="0" w:right="0" w:rightChars="0" w:firstLine="0" w:firstLineChars="0"/>
        <w:jc w:val="left"/>
        <w:textAlignment w:val="auto"/>
        <w:outlineLvl w:val="9"/>
        <w:rPr>
          <w:rFonts w:hint="eastAsia" w:ascii="黑体" w:hAnsi="黑体" w:eastAsia="黑体" w:cs="黑体"/>
          <w:bCs/>
          <w:sz w:val="32"/>
          <w:szCs w:val="32"/>
          <w:lang w:eastAsia="zh-CN"/>
        </w:rPr>
      </w:pPr>
      <w:r>
        <w:rPr>
          <w:rFonts w:hint="eastAsia" w:ascii="黑体" w:hAnsi="黑体" w:eastAsia="黑体" w:cs="黑体"/>
          <w:bCs/>
          <w:sz w:val="32"/>
          <w:szCs w:val="32"/>
          <w:lang w:eastAsia="zh-CN"/>
        </w:rPr>
        <w:t>附件</w:t>
      </w:r>
    </w:p>
    <w:p>
      <w:pPr>
        <w:keepNext w:val="0"/>
        <w:keepLines w:val="0"/>
        <w:pageBreakBefore w:val="0"/>
        <w:widowControl w:val="0"/>
        <w:kinsoku/>
        <w:wordWrap/>
        <w:overflowPunct/>
        <w:topLinePunct w:val="0"/>
        <w:autoSpaceDE/>
        <w:autoSpaceDN w:val="0"/>
        <w:bidi w:val="0"/>
        <w:adjustRightInd w:val="0"/>
        <w:snapToGrid w:val="0"/>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政府信息公开情况统计表</w:t>
      </w:r>
    </w:p>
    <w:p>
      <w:pPr>
        <w:keepNext w:val="0"/>
        <w:keepLines w:val="0"/>
        <w:pageBreakBefore w:val="0"/>
        <w:widowControl w:val="0"/>
        <w:kinsoku/>
        <w:wordWrap/>
        <w:overflowPunct/>
        <w:topLinePunct w:val="0"/>
        <w:autoSpaceDE/>
        <w:autoSpaceDN w:val="0"/>
        <w:bidi w:val="0"/>
        <w:adjustRightInd w:val="0"/>
        <w:snapToGrid w:val="0"/>
        <w:spacing w:line="590" w:lineRule="exact"/>
        <w:ind w:left="0" w:leftChars="0" w:right="0" w:rightChars="0" w:firstLine="0" w:firstLineChars="0"/>
        <w:jc w:val="center"/>
        <w:textAlignment w:val="auto"/>
        <w:outlineLvl w:val="9"/>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201</w:t>
      </w:r>
      <w:r>
        <w:rPr>
          <w:rFonts w:hint="eastAsia" w:ascii="仿宋" w:hAnsi="仿宋" w:eastAsia="仿宋"/>
          <w:sz w:val="32"/>
          <w:szCs w:val="32"/>
          <w:lang w:val="en-US" w:eastAsia="zh-CN"/>
        </w:rPr>
        <w:t>8</w:t>
      </w:r>
      <w:r>
        <w:rPr>
          <w:rFonts w:ascii="仿宋" w:hAnsi="仿宋" w:eastAsia="仿宋"/>
          <w:sz w:val="32"/>
          <w:szCs w:val="32"/>
        </w:rPr>
        <w:t>年度）</w:t>
      </w:r>
    </w:p>
    <w:p>
      <w:pPr>
        <w:keepNext w:val="0"/>
        <w:keepLines w:val="0"/>
        <w:pageBreakBefore w:val="0"/>
        <w:widowControl w:val="0"/>
        <w:kinsoku/>
        <w:wordWrap/>
        <w:overflowPunct/>
        <w:topLinePunct w:val="0"/>
        <w:autoSpaceDE/>
        <w:autoSpaceDN w:val="0"/>
        <w:bidi w:val="0"/>
        <w:adjustRightInd w:val="0"/>
        <w:snapToGrid w:val="0"/>
        <w:spacing w:line="590" w:lineRule="exact"/>
        <w:ind w:left="0" w:leftChars="0" w:right="0" w:rightChars="0" w:firstLine="0" w:firstLineChars="0"/>
        <w:textAlignment w:val="auto"/>
        <w:outlineLvl w:val="9"/>
        <w:rPr>
          <w:rFonts w:ascii="仿宋" w:hAnsi="仿宋" w:eastAsia="仿宋"/>
          <w:sz w:val="32"/>
          <w:szCs w:val="32"/>
        </w:rPr>
      </w:pPr>
      <w:r>
        <w:rPr>
          <w:rFonts w:hint="eastAsia" w:ascii="仿宋" w:hAnsi="仿宋" w:eastAsia="仿宋" w:cs="宋体"/>
          <w:sz w:val="32"/>
          <w:szCs w:val="32"/>
        </w:rPr>
        <w:t>填报单位（盖章）：</w:t>
      </w:r>
      <w:r>
        <w:rPr>
          <w:rFonts w:hint="eastAsia" w:ascii="仿宋" w:hAnsi="仿宋" w:eastAsia="仿宋" w:cs="宋体"/>
          <w:sz w:val="32"/>
          <w:szCs w:val="32"/>
          <w:lang w:eastAsia="zh-CN"/>
        </w:rPr>
        <w:t>云南省地方金融监督管理局</w:t>
      </w:r>
    </w:p>
    <w:tbl>
      <w:tblPr>
        <w:tblStyle w:val="5"/>
        <w:tblW w:w="9638" w:type="dxa"/>
        <w:jc w:val="center"/>
        <w:tblLayout w:type="fixed"/>
        <w:tblCellMar>
          <w:top w:w="0" w:type="dxa"/>
          <w:left w:w="108" w:type="dxa"/>
          <w:bottom w:w="0" w:type="dxa"/>
          <w:right w:w="108" w:type="dxa"/>
        </w:tblCellMar>
      </w:tblPr>
      <w:tblGrid>
        <w:gridCol w:w="7206"/>
        <w:gridCol w:w="1065"/>
        <w:gridCol w:w="1367"/>
      </w:tblGrid>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after="144" w:line="590" w:lineRule="exact"/>
              <w:jc w:val="center"/>
              <w:rPr>
                <w:rFonts w:hint="eastAsia" w:ascii="仿宋_GB2312" w:hAnsi="仿宋_GB2312" w:eastAsia="仿宋_GB2312" w:cs="黑体"/>
                <w:bCs/>
                <w:sz w:val="32"/>
                <w:szCs w:val="32"/>
              </w:rPr>
            </w:pPr>
            <w:r>
              <w:rPr>
                <w:rFonts w:hint="eastAsia" w:ascii="仿宋_GB2312" w:hAnsi="仿宋_GB2312" w:eastAsia="仿宋_GB2312" w:cs="黑体"/>
                <w:bCs/>
                <w:sz w:val="32"/>
                <w:szCs w:val="32"/>
              </w:rPr>
              <w:t>统　计　指　标</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cs="黑体"/>
                <w:bCs/>
                <w:sz w:val="32"/>
                <w:szCs w:val="32"/>
              </w:rPr>
            </w:pPr>
            <w:r>
              <w:rPr>
                <w:rFonts w:hint="eastAsia" w:ascii="仿宋_GB2312" w:hAnsi="仿宋_GB2312" w:eastAsia="仿宋_GB2312" w:cs="黑体"/>
                <w:bCs/>
                <w:sz w:val="32"/>
                <w:szCs w:val="32"/>
              </w:rPr>
              <w:t>单位</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cs="黑体"/>
                <w:bCs/>
                <w:sz w:val="32"/>
                <w:szCs w:val="32"/>
              </w:rPr>
            </w:pPr>
            <w:r>
              <w:rPr>
                <w:rFonts w:hint="eastAsia" w:ascii="仿宋_GB2312" w:hAnsi="仿宋_GB2312" w:eastAsia="仿宋_GB2312" w:cs="黑体"/>
                <w:bCs/>
                <w:sz w:val="32"/>
                <w:szCs w:val="32"/>
              </w:rPr>
              <w:t>统计数</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黑体" w:hAnsi="仿宋_GB2312" w:eastAsia="黑体"/>
                <w:sz w:val="32"/>
                <w:szCs w:val="32"/>
              </w:rPr>
            </w:pPr>
            <w:r>
              <w:rPr>
                <w:rFonts w:hint="eastAsia" w:ascii="黑体" w:hAnsi="仿宋_GB2312" w:eastAsia="黑体" w:cs="黑体"/>
                <w:sz w:val="32"/>
                <w:szCs w:val="32"/>
              </w:rPr>
              <w:t>一、主动公开情况</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楷体_GB2312" w:hAnsi="仿宋_GB2312" w:eastAsia="楷体_GB2312"/>
                <w:sz w:val="32"/>
                <w:szCs w:val="32"/>
                <w:lang w:eastAsia="zh-CN"/>
              </w:rPr>
            </w:pPr>
            <w:r>
              <w:rPr>
                <w:rFonts w:hint="eastAsia" w:ascii="楷体_GB2312" w:hAnsi="仿宋_GB2312" w:eastAsia="楷体_GB2312"/>
                <w:sz w:val="32"/>
                <w:szCs w:val="32"/>
              </w:rPr>
              <w:t>（一）主动公开政府信息数</w:t>
            </w:r>
          </w:p>
          <w:p>
            <w:pPr>
              <w:keepNext w:val="0"/>
              <w:keepLines w:val="0"/>
              <w:pageBreakBefore w:val="0"/>
              <w:kinsoku/>
              <w:wordWrap/>
              <w:overflowPunct/>
              <w:topLinePunct w:val="0"/>
              <w:autoSpaceDE/>
              <w:autoSpaceDN w:val="0"/>
              <w:bidi w:val="0"/>
              <w:spacing w:line="590" w:lineRule="exact"/>
              <w:textAlignment w:val="center"/>
              <w:rPr>
                <w:rFonts w:hint="eastAsia" w:ascii="仿宋_GB2312" w:hAnsi="仿宋_GB2312" w:eastAsia="仿宋_GB2312"/>
                <w:sz w:val="32"/>
                <w:szCs w:val="32"/>
              </w:rPr>
            </w:pPr>
            <w:r>
              <w:rPr>
                <w:rFonts w:hint="eastAsia" w:ascii="仿宋_GB2312" w:hAnsi="仿宋_GB2312" w:eastAsia="仿宋_GB2312"/>
                <w:sz w:val="32"/>
                <w:szCs w:val="32"/>
              </w:rPr>
              <w:t>（不同渠道和方式公开相同信息计1条）</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29</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仿宋_GB2312" w:hAnsi="仿宋_GB2312" w:eastAsia="仿宋_GB2312"/>
                <w:sz w:val="32"/>
                <w:szCs w:val="32"/>
              </w:rPr>
            </w:pPr>
            <w:r>
              <w:rPr>
                <w:rFonts w:hint="eastAsia" w:ascii="仿宋_GB2312" w:hAnsi="仿宋_GB2312" w:eastAsia="仿宋_GB2312"/>
                <w:sz w:val="32"/>
                <w:szCs w:val="32"/>
              </w:rPr>
              <w:t>其中：主动公开规范性文件数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2</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ind w:firstLine="960" w:firstLineChars="300"/>
              <w:textAlignment w:val="center"/>
              <w:rPr>
                <w:rFonts w:hint="eastAsia" w:ascii="仿宋_GB2312" w:hAnsi="仿宋_GB2312" w:eastAsia="仿宋_GB2312"/>
                <w:sz w:val="32"/>
                <w:szCs w:val="32"/>
              </w:rPr>
            </w:pPr>
            <w:r>
              <w:rPr>
                <w:rFonts w:hint="eastAsia" w:ascii="仿宋_GB2312" w:hAnsi="仿宋_GB2312" w:eastAsia="仿宋_GB2312"/>
                <w:sz w:val="32"/>
                <w:szCs w:val="32"/>
              </w:rPr>
              <w:t>制发规范性文件总数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2</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楷体_GB2312" w:hAnsi="仿宋_GB2312" w:eastAsia="楷体_GB2312"/>
                <w:sz w:val="32"/>
                <w:szCs w:val="32"/>
              </w:rPr>
            </w:pPr>
            <w:r>
              <w:rPr>
                <w:rFonts w:hint="eastAsia" w:ascii="楷体_GB2312" w:hAnsi="仿宋_GB2312" w:eastAsia="楷体_GB2312"/>
                <w:sz w:val="32"/>
                <w:szCs w:val="32"/>
              </w:rPr>
              <w:t>（二）通过不同渠道和方式公开政府信息的情况</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仿宋_GB2312" w:hAnsi="仿宋_GB2312" w:eastAsia="仿宋_GB2312"/>
                <w:sz w:val="32"/>
                <w:szCs w:val="32"/>
              </w:rPr>
            </w:pPr>
            <w:r>
              <w:rPr>
                <w:rFonts w:hint="eastAsia" w:ascii="仿宋_GB2312" w:hAnsi="仿宋_GB2312" w:eastAsia="仿宋_GB2312"/>
                <w:sz w:val="32"/>
                <w:szCs w:val="32"/>
              </w:rPr>
              <w:t>1.政府公报公开政府信息数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仿宋_GB2312" w:hAnsi="仿宋_GB2312" w:eastAsia="仿宋_GB2312"/>
                <w:sz w:val="32"/>
                <w:szCs w:val="32"/>
              </w:rPr>
            </w:pPr>
            <w:r>
              <w:rPr>
                <w:rFonts w:hint="eastAsia" w:ascii="仿宋_GB2312" w:hAnsi="仿宋_GB2312" w:eastAsia="仿宋_GB2312"/>
                <w:sz w:val="32"/>
                <w:szCs w:val="32"/>
              </w:rPr>
              <w:t>2.政府网站公开政府信息数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29</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仿宋_GB2312" w:hAnsi="仿宋_GB2312" w:eastAsia="仿宋_GB2312"/>
                <w:sz w:val="32"/>
                <w:szCs w:val="32"/>
              </w:rPr>
            </w:pPr>
            <w:r>
              <w:rPr>
                <w:rFonts w:hint="eastAsia" w:ascii="仿宋_GB2312" w:hAnsi="仿宋_GB2312" w:eastAsia="仿宋_GB2312"/>
                <w:sz w:val="32"/>
                <w:szCs w:val="32"/>
              </w:rPr>
              <w:t>3.政务微博公开政府信息数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仿宋_GB2312" w:hAnsi="仿宋_GB2312" w:eastAsia="仿宋_GB2312"/>
                <w:sz w:val="32"/>
                <w:szCs w:val="32"/>
              </w:rPr>
            </w:pPr>
            <w:r>
              <w:rPr>
                <w:rFonts w:hint="eastAsia" w:ascii="仿宋_GB2312" w:hAnsi="仿宋_GB2312" w:eastAsia="仿宋_GB2312"/>
                <w:sz w:val="32"/>
                <w:szCs w:val="32"/>
              </w:rPr>
              <w:t>4.政务微信公开政府信息数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仿宋_GB2312" w:hAnsi="仿宋_GB2312" w:eastAsia="仿宋_GB2312"/>
                <w:sz w:val="32"/>
                <w:szCs w:val="32"/>
              </w:rPr>
            </w:pPr>
            <w:r>
              <w:rPr>
                <w:rFonts w:hint="eastAsia" w:ascii="仿宋_GB2312" w:hAnsi="仿宋_GB2312" w:eastAsia="仿宋_GB2312"/>
                <w:sz w:val="32"/>
                <w:szCs w:val="32"/>
              </w:rPr>
              <w:t>5.其他方式公开政府信息数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黑体" w:hAnsi="仿宋_GB2312" w:eastAsia="黑体"/>
                <w:sz w:val="32"/>
                <w:szCs w:val="32"/>
              </w:rPr>
            </w:pPr>
            <w:r>
              <w:rPr>
                <w:rFonts w:hint="eastAsia" w:ascii="黑体" w:hAnsi="仿宋_GB2312" w:eastAsia="黑体" w:cs="黑体"/>
                <w:sz w:val="32"/>
                <w:szCs w:val="32"/>
              </w:rPr>
              <w:t>二、回应解读情况</w:t>
            </w:r>
          </w:p>
        </w:tc>
        <w:tc>
          <w:tcPr>
            <w:tcW w:w="2432" w:type="dxa"/>
            <w:gridSpan w:val="2"/>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after="144" w:line="590" w:lineRule="exact"/>
              <w:jc w:val="center"/>
              <w:rPr>
                <w:rFonts w:hint="eastAsia" w:ascii="仿宋_GB2312" w:hAnsi="仿宋_GB2312" w:eastAsia="仿宋_GB2312"/>
                <w:sz w:val="32"/>
                <w:szCs w:val="32"/>
              </w:rPr>
            </w:pPr>
            <w:r>
              <w:rPr>
                <w:rFonts w:hint="eastAsia" w:ascii="仿宋_GB2312" w:hAnsi="仿宋_GB2312" w:eastAsia="仿宋_GB2312"/>
                <w:sz w:val="32"/>
                <w:szCs w:val="32"/>
              </w:rPr>
              <w:t>——</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after="144" w:line="590" w:lineRule="exact"/>
              <w:jc w:val="left"/>
              <w:rPr>
                <w:rFonts w:hint="eastAsia" w:ascii="楷体_GB2312" w:hAnsi="仿宋_GB2312" w:eastAsia="楷体_GB2312"/>
                <w:sz w:val="32"/>
                <w:szCs w:val="32"/>
                <w:lang w:eastAsia="zh-CN"/>
              </w:rPr>
            </w:pPr>
            <w:r>
              <w:rPr>
                <w:rFonts w:hint="eastAsia" w:ascii="楷体_GB2312" w:hAnsi="仿宋_GB2312" w:eastAsia="楷体_GB2312"/>
                <w:sz w:val="32"/>
                <w:szCs w:val="32"/>
              </w:rPr>
              <w:t>（一）回应公众关注热点或重大舆情数</w:t>
            </w:r>
          </w:p>
          <w:p>
            <w:pPr>
              <w:keepNext w:val="0"/>
              <w:keepLines w:val="0"/>
              <w:pageBreakBefore w:val="0"/>
              <w:kinsoku/>
              <w:wordWrap/>
              <w:overflowPunct/>
              <w:topLinePunct w:val="0"/>
              <w:autoSpaceDE/>
              <w:autoSpaceDN w:val="0"/>
              <w:bidi w:val="0"/>
              <w:spacing w:after="144" w:line="590" w:lineRule="exact"/>
              <w:jc w:val="left"/>
              <w:rPr>
                <w:rFonts w:hint="eastAsia" w:ascii="仿宋_GB2312" w:hAnsi="仿宋_GB2312" w:eastAsia="仿宋_GB2312"/>
                <w:sz w:val="32"/>
                <w:szCs w:val="32"/>
              </w:rPr>
            </w:pPr>
            <w:r>
              <w:rPr>
                <w:rFonts w:hint="eastAsia" w:ascii="仿宋_GB2312" w:hAnsi="仿宋_GB2312" w:eastAsia="仿宋_GB2312"/>
                <w:sz w:val="32"/>
                <w:szCs w:val="32"/>
              </w:rPr>
              <w:t>（不同方式回应同一热点或舆情计1次）</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（二）通过不同渠道和方式回应解读的情况</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1.参加或举办新闻发布会总次数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3</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其中：主要负责同志参加新闻发布会次数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2.政府网站在线访谈次数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其中：主要负责同志参加政府网站在线访谈次数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3.政策解读稿件发布数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篇</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8</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4.微博微信回应事件数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5.其他方式回应事件数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黑体" w:hAnsi="仿宋_GB2312" w:eastAsia="黑体"/>
                <w:sz w:val="32"/>
                <w:szCs w:val="32"/>
              </w:rPr>
            </w:pPr>
            <w:r>
              <w:rPr>
                <w:rFonts w:hint="eastAsia" w:ascii="黑体" w:hAnsi="仿宋_GB2312" w:eastAsia="黑体" w:cs="黑体"/>
                <w:sz w:val="32"/>
                <w:szCs w:val="32"/>
              </w:rPr>
              <w:t>三、依申请公开情况</w:t>
            </w:r>
          </w:p>
        </w:tc>
        <w:tc>
          <w:tcPr>
            <w:tcW w:w="2432" w:type="dxa"/>
            <w:gridSpan w:val="2"/>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after="144" w:line="590" w:lineRule="exact"/>
              <w:jc w:val="center"/>
              <w:rPr>
                <w:rFonts w:hint="eastAsia" w:ascii="仿宋_GB2312" w:hAnsi="仿宋_GB2312" w:eastAsia="仿宋_GB2312"/>
                <w:sz w:val="32"/>
                <w:szCs w:val="32"/>
              </w:rPr>
            </w:pPr>
            <w:r>
              <w:rPr>
                <w:rFonts w:hint="eastAsia" w:ascii="仿宋_GB2312" w:hAnsi="仿宋_GB2312" w:eastAsia="仿宋_GB2312"/>
                <w:sz w:val="32"/>
                <w:szCs w:val="32"/>
              </w:rPr>
              <w:t>——</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（一）收到申请数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96</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1.当面申请数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2.传真申请数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3.网络申请数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11</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4.信函申请数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85</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（二）申请办结数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96</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1.按时办结数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96</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2.延期办结数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（三）申请答复数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96</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1.属于已主动公开范围数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2.同意公开答复数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3</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3.同意部分公开答复数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4.不同意公开答复数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93</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其中：涉及国家秘密</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涉及商业秘密</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涉及个人隐私</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危及国家安全、公共安全、经济安全和社会稳定</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84</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不是《条例》所指政府信息</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法律法规规定的其他情形</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5.不属于本行政机关公开数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3</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6.申请信息不存在数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7.告知作出更改补充数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8.告知通过其他途径办理数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6</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黑体" w:hAnsi="仿宋_GB2312" w:eastAsia="黑体"/>
                <w:sz w:val="32"/>
                <w:szCs w:val="32"/>
              </w:rPr>
            </w:pPr>
            <w:r>
              <w:rPr>
                <w:rFonts w:hint="eastAsia" w:ascii="黑体" w:hAnsi="仿宋_GB2312" w:eastAsia="黑体" w:cs="黑体"/>
                <w:sz w:val="32"/>
                <w:szCs w:val="32"/>
              </w:rPr>
              <w:t>四、行政复议数量</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（一）维持具体行政行为数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（二）被依法纠错数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（三）其他情形数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黑体" w:hAnsi="仿宋_GB2312" w:eastAsia="黑体"/>
                <w:sz w:val="32"/>
                <w:szCs w:val="32"/>
              </w:rPr>
            </w:pPr>
            <w:r>
              <w:rPr>
                <w:rFonts w:hint="eastAsia" w:ascii="黑体" w:hAnsi="仿宋_GB2312" w:eastAsia="黑体" w:cs="黑体"/>
                <w:sz w:val="32"/>
                <w:szCs w:val="32"/>
              </w:rPr>
              <w:t>五、行政诉讼数量</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（一）维持具体行政行为或者驳回原告诉讼请求数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（二）被依法纠错数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（三）其他情形数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黑体" w:hAnsi="仿宋_GB2312" w:eastAsia="黑体"/>
                <w:sz w:val="32"/>
                <w:szCs w:val="32"/>
              </w:rPr>
            </w:pPr>
            <w:r>
              <w:rPr>
                <w:rFonts w:hint="eastAsia" w:ascii="黑体" w:hAnsi="仿宋_GB2312" w:eastAsia="黑体" w:cs="黑体"/>
                <w:sz w:val="32"/>
                <w:szCs w:val="32"/>
              </w:rPr>
              <w:t>六、举报投诉数量</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件</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黑体" w:hAnsi="仿宋_GB2312" w:eastAsia="黑体"/>
                <w:sz w:val="32"/>
                <w:szCs w:val="32"/>
              </w:rPr>
            </w:pPr>
            <w:r>
              <w:rPr>
                <w:rFonts w:hint="eastAsia" w:ascii="黑体" w:hAnsi="仿宋_GB2312" w:eastAsia="黑体" w:cs="黑体"/>
                <w:sz w:val="32"/>
                <w:szCs w:val="32"/>
              </w:rPr>
              <w:t>七、依申请公开信息收取的费用</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万元</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黑体" w:hAnsi="仿宋_GB2312" w:eastAsia="黑体"/>
                <w:sz w:val="32"/>
                <w:szCs w:val="32"/>
              </w:rPr>
            </w:pPr>
            <w:r>
              <w:rPr>
                <w:rFonts w:hint="eastAsia" w:ascii="黑体" w:hAnsi="仿宋_GB2312" w:eastAsia="黑体" w:cs="黑体"/>
                <w:sz w:val="32"/>
                <w:szCs w:val="32"/>
              </w:rPr>
              <w:t>八、机构建设和保障经费情况</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（一）政府信息公开工作专门机构数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个</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1</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ind w:firstLine="640" w:firstLineChars="200"/>
              <w:jc w:val="left"/>
              <w:textAlignment w:val="center"/>
              <w:rPr>
                <w:rFonts w:hint="eastAsia" w:ascii="楷体_GB2312" w:hAnsi="仿宋_GB2312" w:eastAsia="楷体_GB2312"/>
                <w:sz w:val="32"/>
                <w:szCs w:val="32"/>
                <w:lang w:eastAsia="zh-CN"/>
              </w:rPr>
            </w:pPr>
            <w:r>
              <w:rPr>
                <w:rFonts w:hint="eastAsia" w:ascii="楷体_GB2312" w:hAnsi="仿宋_GB2312" w:eastAsia="楷体_GB2312"/>
                <w:sz w:val="32"/>
                <w:szCs w:val="32"/>
                <w:lang w:eastAsia="zh-CN"/>
              </w:rPr>
              <w:t>州市负责政府信息与政务公开工作的具体机构、主要负责人姓名及职务</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rPr>
              <w:t>——</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ind w:firstLine="640" w:firstLineChars="200"/>
              <w:jc w:val="left"/>
              <w:textAlignment w:val="center"/>
              <w:rPr>
                <w:rFonts w:hint="eastAsia" w:ascii="楷体_GB2312" w:hAnsi="仿宋_GB2312" w:eastAsia="楷体_GB2312"/>
                <w:sz w:val="32"/>
                <w:szCs w:val="32"/>
                <w:lang w:eastAsia="zh-CN"/>
              </w:rPr>
            </w:pPr>
            <w:r>
              <w:rPr>
                <w:rFonts w:hint="eastAsia" w:ascii="楷体_GB2312" w:hAnsi="仿宋_GB2312" w:eastAsia="楷体_GB2312"/>
                <w:sz w:val="32"/>
                <w:szCs w:val="32"/>
                <w:lang w:eastAsia="zh-CN"/>
              </w:rPr>
              <w:t>省直部门负责政府信息与政务公开工作的具体单位、主要负责人姓名及职务</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widowControl w:val="0"/>
              <w:kinsoku/>
              <w:wordWrap/>
              <w:overflowPunct/>
              <w:topLinePunct w:val="0"/>
              <w:autoSpaceDE/>
              <w:autoSpaceDN w:val="0"/>
              <w:bidi w:val="0"/>
              <w:adjustRightInd/>
              <w:snapToGrid/>
              <w:spacing w:line="590" w:lineRule="exact"/>
              <w:ind w:left="0" w:leftChars="0" w:right="0" w:rightChars="0" w:firstLine="0" w:firstLineChars="0"/>
              <w:jc w:val="center"/>
              <w:textAlignment w:val="center"/>
              <w:outlineLvl w:val="9"/>
              <w:rPr>
                <w:rFonts w:hint="eastAsia" w:ascii="仿宋_GB2312" w:hAnsi="仿宋_GB2312" w:eastAsia="仿宋_GB2312"/>
                <w:sz w:val="24"/>
                <w:szCs w:val="24"/>
                <w:lang w:eastAsia="zh-CN"/>
              </w:rPr>
            </w:pPr>
            <w:r>
              <w:rPr>
                <w:rFonts w:hint="eastAsia" w:ascii="仿宋_GB2312" w:hAnsi="仿宋_GB2312" w:eastAsia="仿宋_GB2312"/>
                <w:sz w:val="24"/>
                <w:szCs w:val="24"/>
                <w:lang w:eastAsia="zh-CN"/>
              </w:rPr>
              <w:t>综合处</w:t>
            </w:r>
          </w:p>
          <w:p>
            <w:pPr>
              <w:keepNext w:val="0"/>
              <w:keepLines w:val="0"/>
              <w:pageBreakBefore w:val="0"/>
              <w:widowControl w:val="0"/>
              <w:kinsoku/>
              <w:wordWrap/>
              <w:overflowPunct/>
              <w:topLinePunct w:val="0"/>
              <w:autoSpaceDE/>
              <w:autoSpaceDN w:val="0"/>
              <w:bidi w:val="0"/>
              <w:adjustRightInd/>
              <w:snapToGrid/>
              <w:spacing w:line="590" w:lineRule="exact"/>
              <w:ind w:left="0" w:leftChars="0" w:right="0" w:rightChars="0" w:firstLine="0" w:firstLineChars="0"/>
              <w:jc w:val="center"/>
              <w:textAlignment w:val="center"/>
              <w:outlineLvl w:val="9"/>
              <w:rPr>
                <w:rFonts w:hint="eastAsia" w:ascii="仿宋_GB2312" w:hAnsi="仿宋_GB2312" w:eastAsia="仿宋_GB2312"/>
                <w:sz w:val="24"/>
                <w:szCs w:val="24"/>
                <w:lang w:eastAsia="zh-CN"/>
              </w:rPr>
            </w:pPr>
            <w:r>
              <w:rPr>
                <w:rFonts w:hint="eastAsia" w:ascii="仿宋_GB2312" w:hAnsi="仿宋_GB2312" w:eastAsia="仿宋_GB2312"/>
                <w:sz w:val="24"/>
                <w:szCs w:val="24"/>
                <w:lang w:eastAsia="zh-CN"/>
              </w:rPr>
              <w:t>刘琼增</w:t>
            </w:r>
          </w:p>
          <w:p>
            <w:pPr>
              <w:keepNext w:val="0"/>
              <w:keepLines w:val="0"/>
              <w:pageBreakBefore w:val="0"/>
              <w:widowControl w:val="0"/>
              <w:kinsoku/>
              <w:wordWrap/>
              <w:overflowPunct/>
              <w:topLinePunct w:val="0"/>
              <w:autoSpaceDE/>
              <w:autoSpaceDN w:val="0"/>
              <w:bidi w:val="0"/>
              <w:adjustRightInd/>
              <w:snapToGrid/>
              <w:spacing w:line="590" w:lineRule="exact"/>
              <w:ind w:left="0" w:leftChars="0" w:right="0" w:rightChars="0" w:firstLine="0" w:firstLineChars="0"/>
              <w:jc w:val="center"/>
              <w:textAlignment w:val="center"/>
              <w:outlineLvl w:val="9"/>
              <w:rPr>
                <w:rFonts w:hint="eastAsia" w:ascii="仿宋_GB2312" w:hAnsi="仿宋_GB2312" w:eastAsia="仿宋_GB2312"/>
                <w:sz w:val="32"/>
                <w:szCs w:val="32"/>
                <w:lang w:eastAsia="zh-CN"/>
              </w:rPr>
            </w:pPr>
            <w:r>
              <w:rPr>
                <w:rFonts w:hint="eastAsia" w:ascii="仿宋_GB2312" w:hAnsi="仿宋_GB2312" w:eastAsia="仿宋_GB2312"/>
                <w:sz w:val="24"/>
                <w:szCs w:val="24"/>
                <w:lang w:eastAsia="zh-CN"/>
              </w:rPr>
              <w:t>处长</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（二）设置政府信息公开查阅点数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个</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1</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（三）从事政府信息公开工作人员数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人</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2</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1.专职人员数（不包括政府公报及政府网站工作人员数）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人</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仿宋_GB2312" w:hAnsi="仿宋_GB2312" w:eastAsia="仿宋_GB2312"/>
                <w:sz w:val="32"/>
                <w:szCs w:val="32"/>
              </w:rPr>
            </w:pPr>
            <w:r>
              <w:rPr>
                <w:rFonts w:hint="eastAsia" w:ascii="仿宋_GB2312" w:hAnsi="仿宋_GB2312" w:eastAsia="仿宋_GB2312"/>
                <w:sz w:val="32"/>
                <w:szCs w:val="32"/>
              </w:rPr>
              <w:t>2.兼职人员数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人</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2</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（四）政府信息公开专项经费（不包括用于政府公报编辑管理及政府网站建设维护等方面的经费）</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万元</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1</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黑体" w:hAnsi="仿宋_GB2312" w:eastAsia="黑体"/>
                <w:sz w:val="32"/>
                <w:szCs w:val="32"/>
              </w:rPr>
            </w:pPr>
            <w:r>
              <w:rPr>
                <w:rFonts w:hint="eastAsia" w:ascii="黑体" w:hAnsi="仿宋_GB2312" w:eastAsia="黑体" w:cs="黑体"/>
                <w:sz w:val="32"/>
                <w:szCs w:val="32"/>
              </w:rPr>
              <w:t>九、政府信息公开会议和培训情况</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（一）召开政府信息公开工作会议或专题会议数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left"/>
              <w:textAlignment w:val="center"/>
              <w:rPr>
                <w:rFonts w:hint="eastAsia" w:ascii="楷体_GB2312" w:hAnsi="仿宋_GB2312" w:eastAsia="楷体_GB2312"/>
                <w:sz w:val="32"/>
                <w:szCs w:val="32"/>
              </w:rPr>
            </w:pPr>
            <w:r>
              <w:rPr>
                <w:rFonts w:hint="eastAsia" w:ascii="楷体_GB2312" w:hAnsi="仿宋_GB2312" w:eastAsia="楷体_GB2312"/>
                <w:sz w:val="32"/>
                <w:szCs w:val="32"/>
              </w:rPr>
              <w:t>（二）举办各类培训班数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r>
        <w:tblPrEx>
          <w:tblCellMar>
            <w:top w:w="0" w:type="dxa"/>
            <w:left w:w="108" w:type="dxa"/>
            <w:bottom w:w="0" w:type="dxa"/>
            <w:right w:w="108" w:type="dxa"/>
          </w:tblCellMar>
        </w:tblPrEx>
        <w:trPr>
          <w:cantSplit/>
          <w:trHeight w:val="0" w:hRule="atLeast"/>
          <w:jc w:val="center"/>
        </w:trPr>
        <w:tc>
          <w:tcPr>
            <w:tcW w:w="7206"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textAlignment w:val="center"/>
              <w:rPr>
                <w:rFonts w:hint="eastAsia" w:ascii="楷体_GB2312" w:hAnsi="仿宋_GB2312" w:eastAsia="楷体_GB2312"/>
                <w:sz w:val="32"/>
                <w:szCs w:val="32"/>
              </w:rPr>
            </w:pPr>
            <w:r>
              <w:rPr>
                <w:rFonts w:hint="eastAsia" w:ascii="楷体_GB2312" w:hAnsi="仿宋_GB2312" w:eastAsia="楷体_GB2312"/>
                <w:sz w:val="32"/>
                <w:szCs w:val="32"/>
              </w:rPr>
              <w:t>（三）接受培训人员数</w:t>
            </w:r>
          </w:p>
        </w:tc>
        <w:tc>
          <w:tcPr>
            <w:tcW w:w="1065"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rPr>
            </w:pPr>
            <w:r>
              <w:rPr>
                <w:rFonts w:hint="eastAsia" w:ascii="仿宋_GB2312" w:hAnsi="仿宋_GB2312" w:eastAsia="仿宋_GB2312"/>
                <w:sz w:val="32"/>
                <w:szCs w:val="32"/>
              </w:rPr>
              <w:t>人次</w:t>
            </w:r>
          </w:p>
        </w:tc>
        <w:tc>
          <w:tcPr>
            <w:tcW w:w="1367" w:type="dxa"/>
            <w:tcBorders>
              <w:top w:val="single" w:color="0A0A0A" w:sz="4" w:space="0"/>
              <w:left w:val="single" w:color="0A0A0A" w:sz="4" w:space="0"/>
              <w:bottom w:val="single" w:color="0A0A0A" w:sz="4" w:space="0"/>
              <w:right w:val="single" w:color="0A0A0A" w:sz="4" w:space="0"/>
            </w:tcBorders>
            <w:vAlign w:val="center"/>
          </w:tcPr>
          <w:p>
            <w:pPr>
              <w:keepNext w:val="0"/>
              <w:keepLines w:val="0"/>
              <w:pageBreakBefore w:val="0"/>
              <w:kinsoku/>
              <w:wordWrap/>
              <w:overflowPunct/>
              <w:topLinePunct w:val="0"/>
              <w:autoSpaceDE/>
              <w:autoSpaceDN w:val="0"/>
              <w:bidi w:val="0"/>
              <w:spacing w:line="590" w:lineRule="exact"/>
              <w:jc w:val="center"/>
              <w:textAlignment w:val="center"/>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0</w:t>
            </w:r>
          </w:p>
        </w:tc>
      </w:tr>
    </w:tbl>
    <w:p>
      <w:pPr>
        <w:keepNext w:val="0"/>
        <w:keepLines w:val="0"/>
        <w:pageBreakBefore w:val="0"/>
        <w:widowControl w:val="0"/>
        <w:kinsoku/>
        <w:wordWrap/>
        <w:overflowPunct/>
        <w:topLinePunct w:val="0"/>
        <w:autoSpaceDE/>
        <w:autoSpaceDN w:val="0"/>
        <w:bidi w:val="0"/>
        <w:adjustRightInd/>
        <w:snapToGrid/>
        <w:spacing w:after="144" w:line="590" w:lineRule="exact"/>
        <w:ind w:left="0" w:leftChars="0" w:right="0" w:rightChars="0" w:firstLine="0" w:firstLineChars="0"/>
        <w:jc w:val="left"/>
        <w:textAlignment w:val="auto"/>
        <w:outlineLvl w:val="9"/>
        <w:rPr>
          <w:rFonts w:hint="eastAsia" w:ascii="仿宋_GB2312" w:hAnsi="仿宋_GB2312" w:eastAsia="仿宋_GB2312"/>
          <w:sz w:val="32"/>
          <w:szCs w:val="32"/>
        </w:rPr>
      </w:pPr>
      <w:r>
        <w:rPr>
          <w:rFonts w:hint="eastAsia" w:ascii="仿宋_GB2312" w:hAnsi="仿宋_GB2312" w:eastAsia="仿宋_GB2312"/>
          <w:sz w:val="32"/>
          <w:szCs w:val="32"/>
        </w:rPr>
        <w:t>单位负责人：</w:t>
      </w:r>
      <w:r>
        <w:rPr>
          <w:rFonts w:hint="eastAsia" w:ascii="仿宋_GB2312" w:hAnsi="仿宋_GB2312" w:eastAsia="仿宋_GB2312"/>
          <w:sz w:val="32"/>
          <w:szCs w:val="32"/>
          <w:lang w:eastAsia="zh-CN"/>
        </w:rPr>
        <w:t>张霞</w:t>
      </w:r>
      <w:r>
        <w:rPr>
          <w:rFonts w:hint="eastAsia" w:ascii="仿宋_GB2312" w:hAnsi="仿宋_GB2312" w:eastAsia="仿宋_GB2312"/>
          <w:sz w:val="32"/>
          <w:szCs w:val="32"/>
        </w:rPr>
        <w:t>　　　　　　审</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核</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人：</w:t>
      </w:r>
      <w:r>
        <w:rPr>
          <w:rFonts w:hint="eastAsia" w:ascii="仿宋_GB2312" w:hAnsi="仿宋_GB2312" w:eastAsia="仿宋_GB2312"/>
          <w:sz w:val="32"/>
          <w:szCs w:val="32"/>
          <w:lang w:eastAsia="zh-CN"/>
        </w:rPr>
        <w:t>刘琼增</w:t>
      </w:r>
      <w:r>
        <w:rPr>
          <w:rFonts w:hint="eastAsia" w:ascii="仿宋_GB2312" w:hAnsi="仿宋_GB2312" w:eastAsia="仿宋_GB2312"/>
          <w:sz w:val="32"/>
          <w:szCs w:val="32"/>
        </w:rPr>
        <w:t>　　　</w:t>
      </w:r>
    </w:p>
    <w:p>
      <w:pPr>
        <w:keepNext w:val="0"/>
        <w:keepLines w:val="0"/>
        <w:pageBreakBefore w:val="0"/>
        <w:widowControl w:val="0"/>
        <w:kinsoku/>
        <w:wordWrap/>
        <w:overflowPunct/>
        <w:topLinePunct w:val="0"/>
        <w:autoSpaceDE/>
        <w:autoSpaceDN w:val="0"/>
        <w:bidi w:val="0"/>
        <w:adjustRightInd/>
        <w:snapToGrid/>
        <w:spacing w:after="144" w:line="590" w:lineRule="exact"/>
        <w:ind w:left="0" w:leftChars="0" w:right="0" w:rightChars="0" w:firstLine="0" w:firstLineChars="0"/>
        <w:jc w:val="left"/>
        <w:textAlignment w:val="auto"/>
        <w:outlineLvl w:val="9"/>
        <w:rPr>
          <w:rFonts w:hint="eastAsia" w:ascii="仿宋_GB2312" w:hAnsi="仿宋_GB2312" w:eastAsia="仿宋_GB2312"/>
          <w:sz w:val="32"/>
          <w:szCs w:val="32"/>
          <w:lang w:val="en-US" w:eastAsia="zh-CN"/>
        </w:rPr>
      </w:pPr>
      <w:r>
        <w:rPr>
          <w:rFonts w:hint="eastAsia" w:ascii="仿宋_GB2312" w:hAnsi="仿宋_GB2312" w:eastAsia="仿宋_GB2312"/>
          <w:sz w:val="32"/>
          <w:szCs w:val="32"/>
        </w:rPr>
        <w:t>填</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报</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人：</w:t>
      </w:r>
      <w:r>
        <w:rPr>
          <w:rFonts w:hint="eastAsia" w:ascii="仿宋_GB2312" w:hAnsi="仿宋_GB2312" w:eastAsia="仿宋_GB2312"/>
          <w:sz w:val="32"/>
          <w:szCs w:val="32"/>
          <w:lang w:eastAsia="zh-CN"/>
        </w:rPr>
        <w:t>刘文杰</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联系电话：</w:t>
      </w:r>
      <w:r>
        <w:rPr>
          <w:rFonts w:hint="eastAsia" w:ascii="仿宋_GB2312" w:hAnsi="仿宋_GB2312" w:eastAsia="仿宋_GB2312"/>
          <w:sz w:val="32"/>
          <w:szCs w:val="32"/>
          <w:lang w:val="en-US" w:eastAsia="zh-CN"/>
        </w:rPr>
        <w:t>63136986</w:t>
      </w:r>
      <w:r>
        <w:rPr>
          <w:rFonts w:hint="eastAsia" w:ascii="仿宋_GB2312" w:hAnsi="仿宋_GB2312" w:eastAsia="仿宋_GB2312"/>
          <w:sz w:val="32"/>
          <w:szCs w:val="32"/>
        </w:rPr>
        <w:t>　　　　　</w:t>
      </w:r>
      <w:r>
        <w:rPr>
          <w:rFonts w:hint="eastAsia" w:ascii="仿宋_GB2312" w:hAnsi="仿宋_GB2312" w:eastAsia="仿宋_GB2312"/>
          <w:sz w:val="32"/>
          <w:szCs w:val="32"/>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after="144" w:line="590" w:lineRule="exact"/>
        <w:ind w:left="0" w:leftChars="0" w:right="0" w:rightChars="0" w:firstLine="0" w:firstLineChars="0"/>
        <w:jc w:val="left"/>
        <w:textAlignment w:val="auto"/>
        <w:outlineLvl w:val="9"/>
        <w:rPr>
          <w:rFonts w:hint="eastAsia" w:ascii="方正仿宋简体" w:hAnsi="方正仿宋简体" w:eastAsia="方正仿宋简体" w:cs="方正仿宋简体"/>
          <w:sz w:val="32"/>
          <w:szCs w:val="32"/>
          <w:lang w:val="en-US" w:eastAsia="zh-CN"/>
        </w:rPr>
      </w:pPr>
      <w:r>
        <w:rPr>
          <w:rFonts w:hint="eastAsia" w:ascii="仿宋_GB2312" w:hAnsi="仿宋_GB2312" w:eastAsia="仿宋_GB2312"/>
          <w:sz w:val="32"/>
          <w:szCs w:val="32"/>
        </w:rPr>
        <w:t>填报日期：</w:t>
      </w:r>
      <w:r>
        <w:rPr>
          <w:rFonts w:hint="eastAsia" w:ascii="仿宋_GB2312" w:hAnsi="仿宋_GB2312" w:eastAsia="仿宋_GB2312"/>
          <w:sz w:val="32"/>
          <w:szCs w:val="32"/>
          <w:lang w:val="en-US" w:eastAsia="zh-CN"/>
        </w:rPr>
        <w:t>2019年1月  日</w:t>
      </w:r>
    </w:p>
    <w:p>
      <w:pPr>
        <w:keepNext w:val="0"/>
        <w:keepLines w:val="0"/>
        <w:pageBreakBefore w:val="0"/>
        <w:kinsoku/>
        <w:wordWrap/>
        <w:overflowPunct/>
        <w:topLinePunct w:val="0"/>
        <w:autoSpaceDE/>
        <w:bidi w:val="0"/>
        <w:spacing w:line="590" w:lineRule="exact"/>
        <w:ind w:left="0" w:leftChars="0" w:firstLine="0" w:firstLineChars="0"/>
      </w:pPr>
    </w:p>
    <w:sectPr>
      <w:footerReference r:id="rId3" w:type="default"/>
      <w:pgSz w:w="11906" w:h="16838"/>
      <w:pgMar w:top="1984" w:right="1474" w:bottom="181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69C26B2"/>
    <w:rsid w:val="08F7065F"/>
    <w:rsid w:val="125B5CFA"/>
    <w:rsid w:val="158F042C"/>
    <w:rsid w:val="172B2DF5"/>
    <w:rsid w:val="1D4024E9"/>
    <w:rsid w:val="1DB42141"/>
    <w:rsid w:val="207273BD"/>
    <w:rsid w:val="25100131"/>
    <w:rsid w:val="2AA515F9"/>
    <w:rsid w:val="2D582559"/>
    <w:rsid w:val="2E734DA4"/>
    <w:rsid w:val="33375BA2"/>
    <w:rsid w:val="3DBD24B5"/>
    <w:rsid w:val="3F304460"/>
    <w:rsid w:val="42DD4AE5"/>
    <w:rsid w:val="46B57E88"/>
    <w:rsid w:val="4B4A36B7"/>
    <w:rsid w:val="4CE15BEC"/>
    <w:rsid w:val="4E687C08"/>
    <w:rsid w:val="50E27460"/>
    <w:rsid w:val="527C5CC1"/>
    <w:rsid w:val="599C085F"/>
    <w:rsid w:val="667C2EA8"/>
    <w:rsid w:val="66C70F27"/>
    <w:rsid w:val="69E92C48"/>
    <w:rsid w:val="6B413184"/>
    <w:rsid w:val="7FD13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12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LWJ</dc:creator>
  <cp:lastModifiedBy>木夏</cp:lastModifiedBy>
  <cp:lastPrinted>2019-01-29T01:45:00Z</cp:lastPrinted>
  <dcterms:modified xsi:type="dcterms:W3CDTF">2022-01-18T09:10:21Z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6F1D032B84AF42DA932DE9F408A83AAB</vt:lpwstr>
  </property>
</Properties>
</file>