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宋体" w:hAnsi="宋体" w:eastAsia="宋体" w:cs="宋体"/>
          <w:color w:val="auto"/>
          <w:kern w:val="2"/>
          <w:sz w:val="44"/>
          <w:szCs w:val="44"/>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宋体" w:hAnsi="宋体" w:eastAsia="宋体" w:cs="宋体"/>
          <w:i w:val="0"/>
          <w:caps w:val="0"/>
          <w:color w:val="auto"/>
          <w:spacing w:val="0"/>
          <w:kern w:val="2"/>
          <w:sz w:val="44"/>
          <w:szCs w:val="44"/>
          <w:shd w:val="clear" w:color="auto" w:fill="FFFFFF"/>
          <w:lang w:val="en-US" w:eastAsia="zh-CN" w:bidi="ar-SA"/>
        </w:rPr>
      </w:pPr>
      <w:r>
        <w:rPr>
          <w:rFonts w:hint="eastAsia" w:ascii="宋体" w:hAnsi="宋体" w:eastAsia="宋体" w:cs="宋体"/>
          <w:i w:val="0"/>
          <w:caps w:val="0"/>
          <w:color w:val="auto"/>
          <w:spacing w:val="0"/>
          <w:kern w:val="2"/>
          <w:sz w:val="44"/>
          <w:szCs w:val="44"/>
          <w:shd w:val="clear" w:color="auto" w:fill="FFFFFF"/>
          <w:lang w:val="en-US" w:eastAsia="zh-CN" w:bidi="ar-SA"/>
        </w:rPr>
        <w:t>云南省地方金融监督管理局关于印发</w:t>
      </w:r>
    </w:p>
    <w:p>
      <w:pPr>
        <w:pStyle w:val="10"/>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宋体" w:hAnsi="宋体" w:eastAsia="宋体" w:cs="宋体"/>
          <w:i w:val="0"/>
          <w:caps w:val="0"/>
          <w:color w:val="auto"/>
          <w:spacing w:val="0"/>
          <w:kern w:val="2"/>
          <w:sz w:val="44"/>
          <w:szCs w:val="44"/>
          <w:shd w:val="clear" w:color="auto" w:fill="FFFFFF"/>
          <w:lang w:val="en-US" w:eastAsia="zh-CN" w:bidi="ar-SA"/>
        </w:rPr>
      </w:pPr>
      <w:r>
        <w:rPr>
          <w:rFonts w:hint="eastAsia" w:ascii="宋体" w:hAnsi="宋体" w:eastAsia="宋体" w:cs="宋体"/>
          <w:i w:val="0"/>
          <w:caps w:val="0"/>
          <w:color w:val="auto"/>
          <w:spacing w:val="0"/>
          <w:kern w:val="2"/>
          <w:sz w:val="44"/>
          <w:szCs w:val="44"/>
          <w:shd w:val="clear" w:color="auto" w:fill="FFFFFF"/>
          <w:lang w:val="en-US" w:eastAsia="zh-CN" w:bidi="ar-SA"/>
        </w:rPr>
        <w:t>云南省融资担保公司分类监管</w:t>
      </w:r>
    </w:p>
    <w:p>
      <w:pPr>
        <w:pStyle w:val="10"/>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宋体" w:hAnsi="宋体" w:eastAsia="宋体" w:cs="宋体"/>
          <w:i w:val="0"/>
          <w:caps w:val="0"/>
          <w:color w:val="auto"/>
          <w:spacing w:val="0"/>
          <w:kern w:val="2"/>
          <w:sz w:val="44"/>
          <w:szCs w:val="44"/>
          <w:shd w:val="clear" w:color="auto" w:fill="FFFFFF"/>
          <w:lang w:val="en-US" w:eastAsia="zh-CN" w:bidi="ar-SA"/>
        </w:rPr>
      </w:pPr>
      <w:r>
        <w:rPr>
          <w:rFonts w:hint="eastAsia" w:ascii="宋体" w:hAnsi="宋体" w:eastAsia="宋体" w:cs="宋体"/>
          <w:i w:val="0"/>
          <w:caps w:val="0"/>
          <w:color w:val="auto"/>
          <w:spacing w:val="0"/>
          <w:kern w:val="2"/>
          <w:sz w:val="44"/>
          <w:szCs w:val="44"/>
          <w:shd w:val="clear" w:color="auto" w:fill="FFFFFF"/>
          <w:lang w:val="en-US" w:eastAsia="zh-CN" w:bidi="ar-SA"/>
        </w:rPr>
        <w:t>评级办法（试行）的通知</w:t>
      </w:r>
    </w:p>
    <w:p>
      <w:pPr>
        <w:pStyle w:val="11"/>
        <w:keepNext w:val="0"/>
        <w:keepLines w:val="0"/>
        <w:pageBreakBefore w:val="0"/>
        <w:widowControl w:val="0"/>
        <w:kinsoku/>
        <w:wordWrap/>
        <w:overflowPunct/>
        <w:topLinePunct w:val="0"/>
        <w:autoSpaceDE/>
        <w:autoSpaceDN/>
        <w:bidi w:val="0"/>
        <w:adjustRightInd w:val="0"/>
        <w:snapToGrid w:val="0"/>
        <w:spacing w:before="0" w:line="600" w:lineRule="exact"/>
        <w:ind w:firstLine="0" w:firstLineChars="0"/>
        <w:jc w:val="center"/>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云金规〔2021〕3号</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shd w:val="clear" w:fill="FFFFFF"/>
        </w:rPr>
        <w:t>各州、市融资担保公司监督管理部门，各融资担保公司：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shd w:val="clear" w:fill="FFFFFF"/>
        </w:rPr>
        <w:t>现将《云南省融资担保公司分类监管评级办法（试行）》印发你们，请认真遵照执行。</w:t>
      </w: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auto"/>
          <w:sz w:val="32"/>
          <w:szCs w:val="32"/>
          <w:lang w:eastAsia="zh-CN"/>
        </w:rPr>
      </w:pPr>
    </w:p>
    <w:p>
      <w:pPr>
        <w:pStyle w:val="2"/>
        <w:keepNext w:val="0"/>
        <w:keepLines w:val="0"/>
        <w:pageBreakBefore w:val="0"/>
        <w:widowControl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tabs>
          <w:tab w:val="center" w:pos="6300"/>
        </w:tabs>
        <w:kinsoku/>
        <w:wordWrap/>
        <w:overflowPunct/>
        <w:topLinePunct w:val="0"/>
        <w:autoSpaceDE/>
        <w:autoSpaceDN/>
        <w:bidi w:val="0"/>
        <w:spacing w:line="5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eastAsia="zh-CN"/>
        </w:rPr>
        <w:t>云南省地方金融监督管理局</w:t>
      </w: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2021年9月9日</w:t>
      </w:r>
    </w:p>
    <w:p>
      <w:pPr>
        <w:pStyle w:val="10"/>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（此件公开发布）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eastAsia" w:ascii="仿宋_GB2312" w:hAnsi="仿宋_GB2312"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eastAsia" w:ascii="仿宋_GB2312" w:hAnsi="仿宋_GB2312"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ascii="方正小标宋简体" w:hAnsi="方正小标宋简体"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eastAsia" w:asciiTheme="majorEastAsia" w:hAnsiTheme="majorEastAsia" w:eastAsiaTheme="majorEastAsia" w:cstheme="majorEastAsia"/>
          <w:color w:val="auto"/>
          <w:sz w:val="44"/>
          <w:szCs w:val="44"/>
        </w:rPr>
      </w:pPr>
      <w:r>
        <w:rPr>
          <w:rFonts w:hint="eastAsia" w:asciiTheme="majorEastAsia" w:hAnsiTheme="majorEastAsia" w:eastAsiaTheme="majorEastAsia" w:cstheme="majorEastAsia"/>
          <w:i w:val="0"/>
          <w:caps w:val="0"/>
          <w:color w:val="auto"/>
          <w:spacing w:val="0"/>
          <w:sz w:val="44"/>
          <w:szCs w:val="44"/>
          <w:shd w:val="clear" w:fill="FFFFFF"/>
        </w:rPr>
        <w:t>云南省融资担保公司分类监管评</w:t>
      </w:r>
      <w:bookmarkStart w:id="0" w:name="_GoBack"/>
      <w:bookmarkEnd w:id="0"/>
      <w:r>
        <w:rPr>
          <w:rFonts w:hint="eastAsia" w:asciiTheme="majorEastAsia" w:hAnsiTheme="majorEastAsia" w:eastAsiaTheme="majorEastAsia" w:cstheme="majorEastAsia"/>
          <w:i w:val="0"/>
          <w:caps w:val="0"/>
          <w:color w:val="auto"/>
          <w:spacing w:val="0"/>
          <w:sz w:val="44"/>
          <w:szCs w:val="44"/>
          <w:shd w:val="clear" w:fill="FFFFFF"/>
        </w:rPr>
        <w:t>级办法（试行）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rPr>
          <w:rFonts w:hint="default" w:ascii="fansong" w:hAnsi="fansong" w:eastAsia="fansong" w:cs="fansong"/>
          <w:color w:val="auto"/>
          <w:sz w:val="32"/>
          <w:szCs w:val="32"/>
          <w:lang w:val="e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default" w:ascii="fansong" w:hAnsi="fansong" w:eastAsia="fansong" w:cs="fansong"/>
          <w:color w:val="auto"/>
          <w:sz w:val="32"/>
          <w:szCs w:val="32"/>
        </w:rPr>
      </w:pPr>
      <w:r>
        <w:rPr>
          <w:rFonts w:ascii="黑体" w:hAnsi="宋体" w:eastAsia="黑体" w:cs="黑体"/>
          <w:i w:val="0"/>
          <w:caps w:val="0"/>
          <w:color w:val="auto"/>
          <w:spacing w:val="0"/>
          <w:sz w:val="32"/>
          <w:szCs w:val="32"/>
          <w:shd w:val="clear" w:fill="FFFFFF"/>
        </w:rPr>
        <w:t>第一章</w:t>
      </w:r>
      <w:r>
        <w:rPr>
          <w:rFonts w:hint="eastAsia" w:ascii="黑体" w:hAnsi="宋体" w:eastAsia="黑体" w:cs="黑体"/>
          <w:i w:val="0"/>
          <w:caps w:val="0"/>
          <w:color w:val="auto"/>
          <w:spacing w:val="0"/>
          <w:sz w:val="32"/>
          <w:szCs w:val="32"/>
          <w:shd w:val="clear" w:fill="FFFFFF"/>
          <w:lang w:eastAsia="zh-CN"/>
        </w:rPr>
        <w:t>　</w:t>
      </w:r>
      <w:r>
        <w:rPr>
          <w:rFonts w:ascii="黑体" w:hAnsi="宋体" w:eastAsia="黑体" w:cs="黑体"/>
          <w:i w:val="0"/>
          <w:caps w:val="0"/>
          <w:color w:val="auto"/>
          <w:spacing w:val="0"/>
          <w:sz w:val="32"/>
          <w:szCs w:val="32"/>
          <w:shd w:val="clear" w:fill="FFFFFF"/>
        </w:rPr>
        <w:t>总</w:t>
      </w:r>
      <w:r>
        <w:rPr>
          <w:rFonts w:hint="eastAsia" w:ascii="黑体" w:hAnsi="宋体" w:eastAsia="黑体" w:cs="黑体"/>
          <w:i w:val="0"/>
          <w:caps w:val="0"/>
          <w:color w:val="auto"/>
          <w:spacing w:val="0"/>
          <w:sz w:val="32"/>
          <w:szCs w:val="32"/>
          <w:shd w:val="clear" w:fill="FFFFFF"/>
          <w:lang w:eastAsia="zh-CN"/>
        </w:rPr>
        <w:t>　</w:t>
      </w:r>
      <w:r>
        <w:rPr>
          <w:rFonts w:ascii="黑体" w:hAnsi="宋体" w:eastAsia="黑体" w:cs="黑体"/>
          <w:i w:val="0"/>
          <w:caps w:val="0"/>
          <w:color w:val="auto"/>
          <w:spacing w:val="0"/>
          <w:sz w:val="32"/>
          <w:szCs w:val="32"/>
          <w:shd w:val="clear" w:fill="FFFFFF"/>
        </w:rPr>
        <w:t>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lang w:val="e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第一条</w:t>
      </w:r>
      <w:r>
        <w:rPr>
          <w:rFonts w:hint="eastAsia" w:ascii="黑体" w:hAnsi="宋体" w:eastAsia="黑体" w:cs="黑体"/>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为加强融资担保公司分类监督管理，规范分类监管评级工作，根据《融资担保公司监督管理条例》《云南省融资担保公司监督管理实施细则》（云政规〔2020〕2号）及相关配套制度规定，结合我省实际，制定本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第二条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本办法所称分类监管评级，是指监督管理部门根据融资担保公司的经营规模、主要服务对象、内部管理水平、风险状况等，综合分析评估并确定其评级等次的行为。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本办法所称分类监管，是指监督管理部门依据融资担保公司分类监管评级结果将其归入特定监管类属，并采取针对性监管措施的行为。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第三条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我省行政区域内设立并取得融资担保业务经营许可证的融资担保公司纳入分类监管评级。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第四条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云南省地方金融监督管理局（以下称省地方金融监管局）制定《云南省融资担保公司分类监管评级指标》，组织全省融资担保公司分类监管评级。州市级监督管理部门组织本行政区域内融资担保公司分类监管评级的初评，县级监督管理部门配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第五条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分类监管评级应坚持以下原则：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全面客观原则。全面收集融资担保公司相关信息，保证信息的完整性和真实性，整体分析融资担保公司经营及风险状况。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持续优化原则。分类监管评级每年开展一次，根据行业发展和监管政策变化，动态调整评级指标。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公平公正原则。用统一的评级标准开展评级，结合定量和定性指标，确保评级结果客观、公正。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lang w:val="e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第二章</w:t>
      </w:r>
      <w:r>
        <w:rPr>
          <w:rFonts w:hint="eastAsia" w:ascii="黑体" w:hAnsi="宋体" w:eastAsia="黑体" w:cs="黑体"/>
          <w:i w:val="0"/>
          <w:caps w:val="0"/>
          <w:color w:val="auto"/>
          <w:spacing w:val="0"/>
          <w:sz w:val="32"/>
          <w:szCs w:val="32"/>
          <w:shd w:val="clear" w:fill="FFFFFF"/>
          <w:lang w:eastAsia="zh-CN"/>
        </w:rPr>
        <w:t>　</w:t>
      </w:r>
      <w:r>
        <w:rPr>
          <w:rFonts w:hint="eastAsia" w:ascii="黑体" w:hAnsi="宋体" w:eastAsia="黑体" w:cs="黑体"/>
          <w:i w:val="0"/>
          <w:caps w:val="0"/>
          <w:color w:val="auto"/>
          <w:spacing w:val="0"/>
          <w:sz w:val="32"/>
          <w:szCs w:val="32"/>
          <w:shd w:val="clear" w:fill="FFFFFF"/>
        </w:rPr>
        <w:t>评级标准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lang w:val="e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第六条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《云南省融资担保公司分类监管评级指标》的评级得分标准分为100分，由定量指标和定性指标组成。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定量指标中关于</w:t>
      </w:r>
      <w:r>
        <w:rPr>
          <w:rFonts w:hint="eastAsia" w:ascii="仿宋_GB2312" w:hAnsi="fansong" w:eastAsia="仿宋_GB2312" w:cs="仿宋_GB2312"/>
          <w:i w:val="0"/>
          <w:caps w:val="0"/>
          <w:color w:val="auto"/>
          <w:spacing w:val="0"/>
          <w:sz w:val="32"/>
          <w:szCs w:val="32"/>
          <w:shd w:val="clear" w:fill="FFFFFF"/>
          <w:lang w:eastAsia="zh-CN"/>
        </w:rPr>
        <w:t>“</w:t>
      </w:r>
      <w:r>
        <w:rPr>
          <w:rFonts w:hint="default" w:ascii="仿宋_GB2312" w:hAnsi="fansong" w:eastAsia="仿宋_GB2312" w:cs="仿宋_GB2312"/>
          <w:i w:val="0"/>
          <w:caps w:val="0"/>
          <w:color w:val="auto"/>
          <w:spacing w:val="0"/>
          <w:sz w:val="32"/>
          <w:szCs w:val="32"/>
          <w:shd w:val="clear" w:fill="FFFFFF"/>
        </w:rPr>
        <w:t>评级年度全省平均值</w:t>
      </w:r>
      <w:r>
        <w:rPr>
          <w:rFonts w:hint="eastAsia" w:ascii="仿宋_GB2312" w:hAnsi="fansong" w:eastAsia="仿宋_GB2312" w:cs="仿宋_GB2312"/>
          <w:i w:val="0"/>
          <w:caps w:val="0"/>
          <w:color w:val="auto"/>
          <w:spacing w:val="0"/>
          <w:sz w:val="32"/>
          <w:szCs w:val="32"/>
          <w:shd w:val="clear" w:fill="FFFFFF"/>
          <w:lang w:eastAsia="zh-CN"/>
        </w:rPr>
        <w:t>”</w:t>
      </w:r>
      <w:r>
        <w:rPr>
          <w:rFonts w:hint="default" w:ascii="仿宋_GB2312" w:hAnsi="fansong" w:eastAsia="仿宋_GB2312" w:cs="仿宋_GB2312"/>
          <w:i w:val="0"/>
          <w:caps w:val="0"/>
          <w:color w:val="auto"/>
          <w:spacing w:val="0"/>
          <w:sz w:val="32"/>
          <w:szCs w:val="32"/>
          <w:shd w:val="clear" w:fill="FFFFFF"/>
        </w:rPr>
        <w:t>的数值，由省地方金融监管局在年度评级工作开展前公布。定性指标根据现场监管检查及非现场监管中掌握的信息进行评分。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第七条</w:t>
      </w:r>
      <w:r>
        <w:rPr>
          <w:rFonts w:hint="eastAsia" w:ascii="黑体" w:hAnsi="宋体" w:eastAsia="黑体" w:cs="黑体"/>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融资担保公司评级等次分为A、B、C三类，AAA级、AA级、A级、BB级、B级、CC级、C级七级。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第八条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A类融资担保公司。经营稳健，治理结构、内控制度与业务发展匹配度高，风险管控能力强，业务管理规范。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（一）AAA级，评级得分95分（含）以上。融资担保服务能力处于全省融资担保行业（下同）领先水平，经营业绩优。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（二）AA级，评级得分90（含）—95分。融资担保服务能力处于行业上游水平，经营业绩优良。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（三）A级，评级得分80（含）—90分。融资担保服务能力处于行业中游偏上水平，经营业绩良好。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第九条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B类融资担保公司。公司经营比较稳健，治理结构、内控制度与业务发展基本匹配，风险管控能力较强，业务管理较为规范。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（一）BB级，评级得分70（含）—80分。融资担保服务能力处于行业中游水平，经营业绩较好。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（二）B级，评级得分60（含）—70分。融资担保服务能力处于行业中游偏下水平，经营业绩一般。</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第十条</w:t>
      </w:r>
      <w:r>
        <w:rPr>
          <w:rFonts w:hint="eastAsia" w:ascii="黑体" w:hAnsi="宋体" w:eastAsia="黑体" w:cs="黑体"/>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C类融资担保公司。公司经营状况不稳定，治理结构和内控机制不完善，风险管控能力弱，业务管理不规范。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（一）CC级，评级得分50（含）—60分。融资担保服务能力处于行业下游水平，经营业绩弱。</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（二）C级，评级得分50分以下。公司经营存在重大风险问题，业务发展停滞，财务状况恶化，在治理结构、内部控制、合规管理等方面存在关键性缺陷。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第十一条融资担保公司出现下列情形之一的，分类监管评级不得高于CC级：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（一）评级年度无新增融资担保业务的；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（二）融资担保责任余额超过其净资产10倍的（对小微企业和农户融资担保业务在保余额占比50%以上且户数占比80%以上的融资担保公司，倍数上限可以提高至15倍）；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（三）6个月以上资产比例未达到监管规定要求的；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（四）存在逾期90天以上尚未履行代偿责任的（与债权人已达成分期代偿协议、按协议履行代偿责任的除外）；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（五）担保责任解除后拒不归还客户保证金的；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（六）财务、业务等资料不全，不能真实完整反映公司经营情况的；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（七）拒绝或阻碍监督管理部门监督检查或董事、监事、高级管理人员拒不配合监督管理谈话的；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（八）监督管理部门依照有关法律、行政法规认为应列入的其他情形。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第十二条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融资担保公司出现下列情形之一的，分类监管评级直接确定为C级：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（一）拒不参与分类监管评级或分类监管评级中提供虚假经营报告、财务报告、年度审计报告等文件和资料的；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（二）擅自变更应经监督管理部门审批有关事项的；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（三）9个月以上资产比例未达到监管规定要求的；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（四）存在逾期360天以上尚未履行代偿责任的（与债权人已达成分期代偿协议、按协议履行代偿责任的除外）；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（五）发生按规定应报告的重大风险事件情形，未按规定报告或有效处置，造成恶劣影响的；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（六）监督管理部门依照有关法律、行政法规认为应列入的其他情形。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第十三条</w:t>
      </w:r>
      <w:r>
        <w:rPr>
          <w:rFonts w:hint="eastAsia" w:ascii="黑体" w:hAnsi="宋体" w:eastAsia="黑体" w:cs="黑体"/>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融资担保公司出现下列情形之一的，不参与分类监管评级，依照有关法律、行政法规予以处罚：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（一）吸收存款或者变相吸收存款、自营贷款或者受托贷款、受托投资的；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（二）使用非法手段催收债务或者涉嫌违法犯罪、涉黑涉恶的。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lang w:val="e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第三章</w:t>
      </w:r>
      <w:r>
        <w:rPr>
          <w:rFonts w:hint="eastAsia" w:ascii="黑体" w:hAnsi="宋体" w:eastAsia="黑体" w:cs="黑体"/>
          <w:i w:val="0"/>
          <w:caps w:val="0"/>
          <w:color w:val="auto"/>
          <w:spacing w:val="0"/>
          <w:sz w:val="32"/>
          <w:szCs w:val="32"/>
          <w:shd w:val="clear" w:fill="FFFFFF"/>
          <w:lang w:eastAsia="zh-CN"/>
        </w:rPr>
        <w:t>　</w:t>
      </w:r>
      <w:r>
        <w:rPr>
          <w:rFonts w:hint="eastAsia" w:ascii="黑体" w:hAnsi="宋体" w:eastAsia="黑体" w:cs="黑体"/>
          <w:i w:val="0"/>
          <w:caps w:val="0"/>
          <w:color w:val="auto"/>
          <w:spacing w:val="0"/>
          <w:sz w:val="32"/>
          <w:szCs w:val="32"/>
          <w:shd w:val="clear" w:fill="FFFFFF"/>
        </w:rPr>
        <w:t>组织实施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lang w:val="e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第十四条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监督管理部门按年度组织开展融资担保公司分类监管评级工作，评级期为上年度1月1日—12月31日。上年度7月1日后新设立的融资担保公司不参与当年度的分类监管评级。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第十五条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融资担保公司分类监管评级工作按照企业自评，州市级监督管理部门组织初评，省地方金融监管局终评的程序进行。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第十六条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融资担保公司应按照本办法要求，对照《云南省融资担保公司分类监管评级指标》进行自评，并如实反映公司的经营状况、存在的问题等，经公司法定代表人和总经理签字确认后，于每年3月31日前将自评结果及相关资料报送至公司住所地县级监督管理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第十七条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州市级监督管理部门组织本行政区域内融资担保公司分类监管评级的初评工作，县级监督管理部门配合，于每年5月31日前将初评意见及工作底稿报送至省地方金融监管局。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第十八条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省地方金融监管局在州市初评的基础上组织终评，确定融资担保公司分类监管评级结果，并向社会公布。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第十九条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分类监管评级过程中发现融资担保公司有违法违规问题的，依据相关法律法规处理处罚。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第二十条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监督管理部门可以委托第三方机构协助开展融资担保公司分类监管评级工作。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监督管理部门可以委托金融机构协助对融资担保公司资产进行监督管理，相关情况作为分类监管评级工作的参考依据。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第二十一条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分类监管评级工作结束后，监督管理部门应做好有关文件和资料的归档工作。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黑体" w:hAnsi="宋体" w:eastAsia="黑体" w:cs="黑体"/>
          <w:i w:val="0"/>
          <w:caps w:val="0"/>
          <w:color w:val="auto"/>
          <w:spacing w:val="0"/>
          <w:sz w:val="32"/>
          <w:szCs w:val="32"/>
          <w:shd w:val="clear" w:fill="FFFFFF"/>
          <w:lang w:val="e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第四章</w:t>
      </w:r>
      <w:r>
        <w:rPr>
          <w:rFonts w:hint="eastAsia" w:ascii="黑体" w:hAnsi="宋体" w:eastAsia="黑体" w:cs="黑体"/>
          <w:i w:val="0"/>
          <w:caps w:val="0"/>
          <w:color w:val="auto"/>
          <w:spacing w:val="0"/>
          <w:sz w:val="32"/>
          <w:szCs w:val="32"/>
          <w:shd w:val="clear" w:fill="FFFFFF"/>
          <w:lang w:eastAsia="zh-CN"/>
        </w:rPr>
        <w:t>　</w:t>
      </w:r>
      <w:r>
        <w:rPr>
          <w:rFonts w:hint="eastAsia" w:ascii="黑体" w:hAnsi="宋体" w:eastAsia="黑体" w:cs="黑体"/>
          <w:i w:val="0"/>
          <w:caps w:val="0"/>
          <w:color w:val="auto"/>
          <w:spacing w:val="0"/>
          <w:sz w:val="32"/>
          <w:szCs w:val="32"/>
          <w:shd w:val="clear" w:fill="FFFFFF"/>
        </w:rPr>
        <w:t>结果应用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lang w:val="e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第二十二条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监督管理部门可根据评级结果对融资担保公司采取分类监管措施。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（一）对A类公司，积极支持公司发展，相应降低现场检查的频率，在获得政策扶持和新业务开展等方面给予鼓励和支持。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（二）对B类公司，指出公司存在的不足，指导进行改进，现场检查时重点关注存在的风险。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default" w:ascii="仿宋_GB2312" w:hAnsi="fansong" w:eastAsia="仿宋_GB2312" w:cs="仿宋_GB2312"/>
          <w:i w:val="0"/>
          <w:caps w:val="0"/>
          <w:color w:val="auto"/>
          <w:spacing w:val="0"/>
          <w:sz w:val="32"/>
          <w:szCs w:val="32"/>
          <w:shd w:val="clear" w:fill="FFFFFF"/>
        </w:rPr>
        <w:t>（三）对C类公司，持续关注公司经营管理情况、采取的风险控制和化解措施，提高现场检查频率，加大督促整改力度。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第二十三条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评级结果为BB级（含）以上的融资担保公司，除经营融资担保业务外，可以经营投标担保、工程履约担保、诉讼保全担保等非融资担保业务以及与担保业务有关的咨询等服务业务。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第二十四条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对连续两年评级结果为C级的融资担保公司，各级监督管理部门依据《融资担保公司监督管理条例》等相关规定进行处理。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黑体" w:hAnsi="宋体" w:eastAsia="黑体" w:cs="黑体"/>
          <w:i w:val="0"/>
          <w:caps w:val="0"/>
          <w:color w:val="auto"/>
          <w:spacing w:val="0"/>
          <w:sz w:val="32"/>
          <w:szCs w:val="32"/>
          <w:shd w:val="clear" w:fill="FFFFFF"/>
          <w:lang w:val="e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第五章</w:t>
      </w:r>
      <w:r>
        <w:rPr>
          <w:rFonts w:hint="eastAsia" w:ascii="黑体" w:hAnsi="宋体" w:eastAsia="黑体" w:cs="黑体"/>
          <w:i w:val="0"/>
          <w:caps w:val="0"/>
          <w:color w:val="auto"/>
          <w:spacing w:val="0"/>
          <w:sz w:val="32"/>
          <w:szCs w:val="32"/>
          <w:shd w:val="clear" w:fill="FFFFFF"/>
          <w:lang w:eastAsia="zh-CN"/>
        </w:rPr>
        <w:t>　</w:t>
      </w:r>
      <w:r>
        <w:rPr>
          <w:rFonts w:hint="eastAsia" w:ascii="黑体" w:hAnsi="宋体" w:eastAsia="黑体" w:cs="黑体"/>
          <w:i w:val="0"/>
          <w:caps w:val="0"/>
          <w:color w:val="auto"/>
          <w:spacing w:val="0"/>
          <w:sz w:val="32"/>
          <w:szCs w:val="32"/>
          <w:shd w:val="clear" w:fill="FFFFFF"/>
        </w:rPr>
        <w:t>附</w:t>
      </w:r>
      <w:r>
        <w:rPr>
          <w:rFonts w:hint="eastAsia" w:ascii="黑体" w:hAnsi="宋体" w:eastAsia="黑体" w:cs="黑体"/>
          <w:i w:val="0"/>
          <w:caps w:val="0"/>
          <w:color w:val="auto"/>
          <w:spacing w:val="0"/>
          <w:sz w:val="32"/>
          <w:szCs w:val="32"/>
          <w:shd w:val="clear" w:fill="FFFFFF"/>
          <w:lang w:eastAsia="zh-CN"/>
        </w:rPr>
        <w:t>　</w:t>
      </w:r>
      <w:r>
        <w:rPr>
          <w:rFonts w:hint="eastAsia" w:ascii="黑体" w:hAnsi="宋体" w:eastAsia="黑体" w:cs="黑体"/>
          <w:i w:val="0"/>
          <w:caps w:val="0"/>
          <w:color w:val="auto"/>
          <w:spacing w:val="0"/>
          <w:sz w:val="32"/>
          <w:szCs w:val="32"/>
          <w:shd w:val="clear" w:fill="FFFFFF"/>
        </w:rPr>
        <w:t>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lang w:val="e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第二十五条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省地方金融监管局可以根据监管规定的变化或融资担保行业的实际情况适时调整分类监管评级指标。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第二十六条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通过本办法确定的融资担保公司评级结果仅作为监督管理部门对融资担保公司分类监管和服务支持的主要依据，不代表对融资担保公司实际经营情况及风险的评价或保证。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fansong" w:hAnsi="fansong" w:eastAsia="fansong" w:cs="fansong"/>
          <w:color w:val="auto"/>
          <w:sz w:val="32"/>
          <w:szCs w:val="32"/>
        </w:rPr>
      </w:pPr>
      <w:r>
        <w:rPr>
          <w:rFonts w:hint="eastAsia" w:ascii="黑体" w:hAnsi="宋体" w:eastAsia="黑体" w:cs="黑体"/>
          <w:i w:val="0"/>
          <w:caps w:val="0"/>
          <w:color w:val="auto"/>
          <w:spacing w:val="0"/>
          <w:sz w:val="32"/>
          <w:szCs w:val="32"/>
          <w:shd w:val="clear" w:fill="FFFFFF"/>
        </w:rPr>
        <w:t>第二十七条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本办法由省地方金融监管局负责解释。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r>
        <w:rPr>
          <w:rFonts w:hint="eastAsia" w:ascii="黑体" w:hAnsi="宋体" w:eastAsia="黑体" w:cs="黑体"/>
          <w:i w:val="0"/>
          <w:caps w:val="0"/>
          <w:color w:val="auto"/>
          <w:spacing w:val="0"/>
          <w:sz w:val="32"/>
          <w:szCs w:val="32"/>
          <w:shd w:val="clear" w:fill="FFFFFF"/>
        </w:rPr>
        <w:t>第二十八条</w:t>
      </w:r>
      <w:r>
        <w:rPr>
          <w:rFonts w:hint="eastAsia" w:ascii="仿宋_GB2312" w:hAnsi="fansong" w:eastAsia="仿宋_GB2312" w:cs="仿宋_GB2312"/>
          <w:i w:val="0"/>
          <w:caps w:val="0"/>
          <w:color w:val="auto"/>
          <w:spacing w:val="0"/>
          <w:sz w:val="32"/>
          <w:szCs w:val="32"/>
          <w:shd w:val="clear" w:fill="FFFFFF"/>
          <w:lang w:eastAsia="zh-CN"/>
        </w:rPr>
        <w:t>　</w:t>
      </w:r>
      <w:r>
        <w:rPr>
          <w:rFonts w:hint="default" w:ascii="仿宋_GB2312" w:hAnsi="fansong" w:eastAsia="仿宋_GB2312" w:cs="仿宋_GB2312"/>
          <w:i w:val="0"/>
          <w:caps w:val="0"/>
          <w:color w:val="auto"/>
          <w:spacing w:val="0"/>
          <w:sz w:val="32"/>
          <w:szCs w:val="32"/>
          <w:shd w:val="clear" w:fill="FFFFFF"/>
        </w:rPr>
        <w:t>本办法自2021年9月1日起施行。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_GB2312" w:hAnsi="fansong"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eastAsia" w:ascii="黑体" w:hAnsi="黑体" w:eastAsia="黑体" w:cs="黑体"/>
          <w:i w:val="0"/>
          <w:caps w:val="0"/>
          <w:color w:val="auto"/>
          <w:spacing w:val="0"/>
          <w:sz w:val="32"/>
          <w:szCs w:val="32"/>
          <w:shd w:val="clear" w:fill="FFFFFF"/>
          <w:lang w:val="en-US" w:eastAsia="zh-CN"/>
        </w:rPr>
      </w:pPr>
      <w:r>
        <w:rPr>
          <w:rFonts w:hint="eastAsia" w:ascii="黑体" w:hAnsi="黑体" w:eastAsia="黑体" w:cs="黑体"/>
          <w:i w:val="0"/>
          <w:caps w:val="0"/>
          <w:color w:val="auto"/>
          <w:spacing w:val="0"/>
          <w:sz w:val="32"/>
          <w:szCs w:val="32"/>
          <w:shd w:val="clear" w:fill="FFFFFF"/>
          <w:lang w:val="en-US" w:eastAsia="zh-CN"/>
        </w:rPr>
        <w:t>附件：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黑体" w:hAnsi="黑体" w:eastAsia="黑体" w:cs="黑体"/>
          <w:i w:val="0"/>
          <w:caps w:val="0"/>
          <w:color w:val="auto"/>
          <w:spacing w:val="0"/>
          <w:sz w:val="32"/>
          <w:szCs w:val="32"/>
          <w:shd w:val="clear" w:fill="FFFFFF"/>
          <w:lang w:val="en-US" w:eastAsia="zh-CN"/>
        </w:rPr>
      </w:pPr>
      <w:r>
        <w:rPr>
          <w:rFonts w:hint="eastAsia" w:ascii="黑体" w:hAnsi="黑体" w:eastAsia="黑体" w:cs="黑体"/>
          <w:i w:val="0"/>
          <w:caps w:val="0"/>
          <w:color w:val="auto"/>
          <w:spacing w:val="0"/>
          <w:sz w:val="32"/>
          <w:szCs w:val="32"/>
          <w:shd w:val="clear" w:fill="FFFFFF"/>
          <w:lang w:val="en-US" w:eastAsia="zh-CN"/>
        </w:rPr>
        <w:drawing>
          <wp:inline distT="0" distB="0" distL="114300" distR="114300">
            <wp:extent cx="5610225" cy="5615305"/>
            <wp:effectExtent l="0" t="0" r="9525" b="4445"/>
            <wp:docPr id="1" name="图片 1" descr="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true"/>
                    </pic:cNvPicPr>
                  </pic:nvPicPr>
                  <pic:blipFill>
                    <a:blip r:embed="rId6"/>
                    <a:stretch>
                      <a:fillRect/>
                    </a:stretch>
                  </pic:blipFill>
                  <pic:spPr>
                    <a:xfrm>
                      <a:off x="0" y="0"/>
                      <a:ext cx="5610225" cy="5615305"/>
                    </a:xfrm>
                    <a:prstGeom prst="rect">
                      <a:avLst/>
                    </a:prstGeom>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黑体" w:hAnsi="黑体" w:eastAsia="黑体" w:cs="黑体"/>
          <w:i w:val="0"/>
          <w:caps w:val="0"/>
          <w:color w:val="auto"/>
          <w:spacing w:val="0"/>
          <w:sz w:val="32"/>
          <w:szCs w:val="32"/>
          <w:shd w:val="clear" w:fill="FFFFFF"/>
          <w:lang w:val="en-US" w:eastAsia="zh-CN"/>
        </w:rPr>
      </w:pPr>
      <w:r>
        <w:rPr>
          <w:rFonts w:hint="eastAsia" w:ascii="黑体" w:hAnsi="黑体" w:eastAsia="黑体" w:cs="黑体"/>
          <w:i w:val="0"/>
          <w:caps w:val="0"/>
          <w:color w:val="auto"/>
          <w:spacing w:val="0"/>
          <w:sz w:val="32"/>
          <w:szCs w:val="32"/>
          <w:shd w:val="clear" w:fill="FFFFFF"/>
          <w:lang w:val="en-US" w:eastAsia="zh-CN"/>
        </w:rPr>
        <w:drawing>
          <wp:inline distT="0" distB="0" distL="114300" distR="114300">
            <wp:extent cx="5612130" cy="5967730"/>
            <wp:effectExtent l="0" t="0" r="7620" b="13970"/>
            <wp:docPr id="2" name="图片 2" descr="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true"/>
                    </pic:cNvPicPr>
                  </pic:nvPicPr>
                  <pic:blipFill>
                    <a:blip r:embed="rId7"/>
                    <a:stretch>
                      <a:fillRect/>
                    </a:stretch>
                  </pic:blipFill>
                  <pic:spPr>
                    <a:xfrm>
                      <a:off x="0" y="0"/>
                      <a:ext cx="5612130" cy="5967730"/>
                    </a:xfrm>
                    <a:prstGeom prst="rect">
                      <a:avLst/>
                    </a:prstGeom>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黑体" w:hAnsi="黑体" w:eastAsia="黑体" w:cs="黑体"/>
          <w:i w:val="0"/>
          <w:caps w:val="0"/>
          <w:color w:val="auto"/>
          <w:spacing w:val="0"/>
          <w:sz w:val="32"/>
          <w:szCs w:val="32"/>
          <w:shd w:val="clear" w:fill="FFFFFF"/>
          <w:lang w:val="en-US" w:eastAsia="zh-CN"/>
        </w:rPr>
      </w:pPr>
      <w:r>
        <w:rPr>
          <w:rFonts w:hint="eastAsia" w:ascii="黑体" w:hAnsi="黑体" w:eastAsia="黑体" w:cs="黑体"/>
          <w:i w:val="0"/>
          <w:caps w:val="0"/>
          <w:color w:val="auto"/>
          <w:spacing w:val="0"/>
          <w:sz w:val="32"/>
          <w:szCs w:val="32"/>
          <w:shd w:val="clear" w:fill="FFFFFF"/>
          <w:lang w:val="en-US" w:eastAsia="zh-CN"/>
        </w:rPr>
        <w:drawing>
          <wp:inline distT="0" distB="0" distL="114300" distR="114300">
            <wp:extent cx="5615940" cy="4970780"/>
            <wp:effectExtent l="0" t="0" r="3810" b="1270"/>
            <wp:docPr id="4" name="图片 4" descr="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3"/>
                    <pic:cNvPicPr>
                      <a:picLocks noChangeAspect="true"/>
                    </pic:cNvPicPr>
                  </pic:nvPicPr>
                  <pic:blipFill>
                    <a:blip r:embed="rId8"/>
                    <a:stretch>
                      <a:fillRect/>
                    </a:stretch>
                  </pic:blipFill>
                  <pic:spPr>
                    <a:xfrm>
                      <a:off x="0" y="0"/>
                      <a:ext cx="5615940" cy="4970780"/>
                    </a:xfrm>
                    <a:prstGeom prst="rect">
                      <a:avLst/>
                    </a:prstGeom>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黑体" w:hAnsi="黑体" w:eastAsia="黑体" w:cs="黑体"/>
          <w:i w:val="0"/>
          <w:caps w:val="0"/>
          <w:color w:val="auto"/>
          <w:spacing w:val="0"/>
          <w:sz w:val="32"/>
          <w:szCs w:val="32"/>
          <w:shd w:val="clear" w:fill="FFFFFF"/>
          <w:lang w:val="en-US" w:eastAsia="zh-CN"/>
        </w:rPr>
      </w:pPr>
      <w:r>
        <w:rPr>
          <w:rFonts w:hint="eastAsia" w:ascii="黑体" w:hAnsi="黑体" w:eastAsia="黑体" w:cs="黑体"/>
          <w:i w:val="0"/>
          <w:caps w:val="0"/>
          <w:color w:val="auto"/>
          <w:spacing w:val="0"/>
          <w:sz w:val="32"/>
          <w:szCs w:val="32"/>
          <w:shd w:val="clear" w:fill="FFFFFF"/>
          <w:lang w:val="en-US" w:eastAsia="zh-CN"/>
        </w:rPr>
        <w:drawing>
          <wp:inline distT="0" distB="0" distL="114300" distR="114300">
            <wp:extent cx="5616575" cy="5349875"/>
            <wp:effectExtent l="0" t="0" r="3175" b="3175"/>
            <wp:docPr id="5" name="图片 5" descr="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4"/>
                    <pic:cNvPicPr>
                      <a:picLocks noChangeAspect="true"/>
                    </pic:cNvPicPr>
                  </pic:nvPicPr>
                  <pic:blipFill>
                    <a:blip r:embed="rId9"/>
                    <a:stretch>
                      <a:fillRect/>
                    </a:stretch>
                  </pic:blipFill>
                  <pic:spPr>
                    <a:xfrm>
                      <a:off x="0" y="0"/>
                      <a:ext cx="5616575" cy="5349875"/>
                    </a:xfrm>
                    <a:prstGeom prst="rect">
                      <a:avLst/>
                    </a:prstGeom>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both"/>
        <w:textAlignment w:val="auto"/>
        <w:rPr>
          <w:rFonts w:hint="eastAsia" w:ascii="黑体" w:hAnsi="黑体" w:eastAsia="黑体" w:cs="黑体"/>
          <w:i w:val="0"/>
          <w:caps w:val="0"/>
          <w:color w:val="auto"/>
          <w:spacing w:val="0"/>
          <w:sz w:val="32"/>
          <w:szCs w:val="32"/>
          <w:shd w:val="clear" w:fill="FFFFFF"/>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黑体" w:hAnsi="黑体" w:eastAsia="黑体" w:cs="黑体"/>
          <w:i w:val="0"/>
          <w:caps w:val="0"/>
          <w:color w:val="auto"/>
          <w:spacing w:val="0"/>
          <w:sz w:val="32"/>
          <w:szCs w:val="32"/>
          <w:shd w:val="clear" w:fill="FFFFFF"/>
          <w:lang w:val="en-US" w:eastAsia="zh-CN"/>
        </w:rPr>
      </w:pPr>
      <w:r>
        <w:rPr>
          <w:rFonts w:hint="eastAsia" w:ascii="黑体" w:hAnsi="黑体" w:eastAsia="黑体" w:cs="黑体"/>
          <w:i w:val="0"/>
          <w:caps w:val="0"/>
          <w:color w:val="auto"/>
          <w:spacing w:val="0"/>
          <w:sz w:val="32"/>
          <w:szCs w:val="32"/>
          <w:shd w:val="clear" w:fill="FFFFFF"/>
          <w:lang w:val="en-US" w:eastAsia="zh-CN"/>
        </w:rPr>
        <w:drawing>
          <wp:inline distT="0" distB="0" distL="114300" distR="114300">
            <wp:extent cx="5609590" cy="3963035"/>
            <wp:effectExtent l="0" t="0" r="10160" b="18415"/>
            <wp:docPr id="6" name="图片 6" descr="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5"/>
                    <pic:cNvPicPr>
                      <a:picLocks noChangeAspect="true"/>
                    </pic:cNvPicPr>
                  </pic:nvPicPr>
                  <pic:blipFill>
                    <a:blip r:embed="rId10"/>
                    <a:stretch>
                      <a:fillRect/>
                    </a:stretch>
                  </pic:blipFill>
                  <pic:spPr>
                    <a:xfrm>
                      <a:off x="0" y="0"/>
                      <a:ext cx="5609590" cy="3963035"/>
                    </a:xfrm>
                    <a:prstGeom prst="rect">
                      <a:avLst/>
                    </a:prstGeom>
                  </pic:spPr>
                </pic:pic>
              </a:graphicData>
            </a:graphic>
          </wp:inline>
        </w:drawing>
      </w: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00"/>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fansong">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CfWPvnIQIAADgEAAAOAAAAAAAAAAEAIAAAADUBAABkcnMvZTJvRG9jLnht&#10;bFBLBQYAAAAABgAGAFkBAADI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855" w:leftChars="2207" w:firstLine="6560" w:firstLineChars="205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0" r="0" b="0"/>
              <wp:wrapNone/>
              <wp:docPr id="1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5"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Dzp6XR1AAA&#10;AAYBAAAPAAAAAAAAAAEAIAAAADgAAABkcnMvZG93bnJldi54bWxQSwECFAAUAAAACACHTuJAdqUu&#10;6NMBAAB2AwAADgAAAAAAAAABACAAAAA5AQAAZHJzL2Uyb0RvYy54bWxQSwUGAAAAAAYABgBZAQAA&#10;fg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云南省地方金融监督管理局</w:t>
    </w:r>
    <w:r>
      <w:rPr>
        <w:rFonts w:hint="eastAsia" w:ascii="宋体" w:hAnsi="宋体" w:eastAsia="宋体" w:cs="宋体"/>
        <w:b/>
        <w:bCs/>
        <w:color w:val="005192"/>
        <w:sz w:val="28"/>
        <w:szCs w:val="44"/>
        <w:lang w:val="en-US" w:eastAsia="zh-CN"/>
      </w:rPr>
      <w:t xml:space="preserve">发布     </w:t>
    </w:r>
  </w:p>
  <w:p>
    <w:pPr>
      <w:pStyle w:val="4"/>
      <w:wordWrap w:val="0"/>
      <w:ind w:left="5016"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0" r="0" b="0"/>
              <wp:wrapNone/>
              <wp:docPr id="1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4"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NRHQNbVAAAACQEAAA8AAAAAAAAAAQAgAAAAOAAAAGRycy9kb3ducmV2LnhtbFBLAQIUABQA&#10;AAAIAIdO4kDGxUhI3QEAAH4DAAAOAAAAAAAAAAEAIAAAADoBAABkcnMvZTJvRG9jLnhtbFBLBQYA&#10;AAAABgAGAFkBAACJBQAAAAA=&#10;">
              <v:fill on="f" focussize="0,0"/>
              <v:stroke weight="1.75pt" color="#005192"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0" b="0"/>
          <wp:docPr id="17" name="图片 1"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 descr="国徽1024"/>
                  <pic:cNvPicPr>
                    <a:picLocks noChangeAspect="true"/>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地方金融监督管理局行政规范性文件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5362D"/>
    <w:rsid w:val="0064286A"/>
    <w:rsid w:val="04AF7112"/>
    <w:rsid w:val="0A2A15EA"/>
    <w:rsid w:val="0EF36B11"/>
    <w:rsid w:val="152D7583"/>
    <w:rsid w:val="16084085"/>
    <w:rsid w:val="165727AA"/>
    <w:rsid w:val="2A9876E4"/>
    <w:rsid w:val="2B624C91"/>
    <w:rsid w:val="37AA2472"/>
    <w:rsid w:val="37CACCD7"/>
    <w:rsid w:val="3E5B4C71"/>
    <w:rsid w:val="45411F19"/>
    <w:rsid w:val="470A240E"/>
    <w:rsid w:val="47FF203B"/>
    <w:rsid w:val="4D15362D"/>
    <w:rsid w:val="549E2A8F"/>
    <w:rsid w:val="57F31D7C"/>
    <w:rsid w:val="600E6D24"/>
    <w:rsid w:val="60102E9E"/>
    <w:rsid w:val="65766F13"/>
    <w:rsid w:val="664C7473"/>
    <w:rsid w:val="6C0734BE"/>
    <w:rsid w:val="6E7D5D82"/>
    <w:rsid w:val="72486427"/>
    <w:rsid w:val="754F7133"/>
    <w:rsid w:val="EF28918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rPr>
      <w:rFonts w:ascii="宋体" w:hAnsi="宋体"/>
      <w:sz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 w:type="paragraph" w:customStyle="1" w:styleId="10">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 w:type="paragraph" w:customStyle="1" w:styleId="11">
    <w:name w:val="15.5楷体（标题下楷体）"/>
    <w:basedOn w:val="1"/>
    <w:qFormat/>
    <w:uiPriority w:val="0"/>
    <w:pPr>
      <w:widowControl/>
      <w:spacing w:before="105"/>
      <w:ind w:firstLine="200" w:firstLineChars="200"/>
      <w:jc w:val="center"/>
    </w:pPr>
    <w:rPr>
      <w:rFonts w:ascii="方正书宋简体" w:hAnsi="方正书宋简体" w:eastAsia="楷体_GB2312"/>
      <w:color w:val="000000"/>
      <w:kern w:val="0"/>
      <w:sz w:val="31"/>
      <w:szCs w:val="31"/>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3108</Words>
  <Characters>3159</Characters>
  <Lines>0</Lines>
  <Paragraphs>0</Paragraphs>
  <TotalTime>6</TotalTime>
  <ScaleCrop>false</ScaleCrop>
  <LinksUpToDate>false</LinksUpToDate>
  <CharactersWithSpaces>3206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2021-12-02T22:52:00Z</dcterms:created>
  <dc:creator>Dasiy_颖</dc:creator>
  <cp:lastModifiedBy>kylin</cp:lastModifiedBy>
  <dcterms:modified xsi:type="dcterms:W3CDTF">2021-12-31T13:04:48Z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EC4600634D63480AB023A92610798DDF</vt:lpwstr>
  </property>
</Properties>
</file>