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80" w:lineRule="exact"/>
        <w:ind w:left="0" w:leftChars="0"/>
        <w:textAlignment w:val="auto"/>
        <w:rPr>
          <w:rFonts w:hint="eastAsia" w:ascii="宋体" w:hAnsi="宋体" w:eastAsia="方正黑体简体" w:cs="方正黑体简体"/>
          <w:kern w:val="2"/>
          <w:sz w:val="32"/>
          <w:szCs w:val="32"/>
          <w:lang w:val="en-US" w:eastAsia="zh-CN" w:bidi="ar-SA"/>
        </w:rPr>
      </w:pPr>
      <w:bookmarkStart w:id="0" w:name="_GoBack"/>
      <w:bookmarkEnd w:id="0"/>
      <w:r>
        <w:rPr>
          <w:rFonts w:hint="eastAsia" w:ascii="宋体" w:hAnsi="宋体" w:eastAsia="黑体" w:cs="黑体"/>
          <w:kern w:val="2"/>
          <w:sz w:val="32"/>
          <w:szCs w:val="32"/>
          <w:lang w:val="en-US" w:eastAsia="zh-CN" w:bidi="ar-SA"/>
        </w:rPr>
        <w:t>附件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jc w:val="both"/>
        <w:textAlignment w:val="auto"/>
        <w:rPr>
          <w:rFonts w:hint="eastAsia" w:ascii="宋体" w:hAnsi="宋体" w:eastAsia="方正小标宋简体" w:cs="方正小标宋简体"/>
          <w:kern w:val="0"/>
          <w:sz w:val="44"/>
          <w:szCs w:val="44"/>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jc w:val="center"/>
        <w:textAlignment w:val="auto"/>
        <w:rPr>
          <w:rFonts w:hint="eastAsia" w:ascii="宋体" w:hAnsi="宋体" w:eastAsia="方正小标宋简体" w:cs="方正小标宋简体"/>
          <w:kern w:val="0"/>
          <w:sz w:val="44"/>
          <w:szCs w:val="44"/>
          <w:lang w:val="en-US" w:eastAsia="zh-CN" w:bidi="ar-SA"/>
        </w:rPr>
      </w:pPr>
      <w:r>
        <w:rPr>
          <w:rFonts w:hint="eastAsia" w:ascii="宋体" w:hAnsi="宋体" w:eastAsia="方正小标宋简体" w:cs="方正小标宋简体"/>
          <w:kern w:val="0"/>
          <w:sz w:val="44"/>
          <w:szCs w:val="44"/>
          <w:lang w:val="en-US" w:eastAsia="zh-CN" w:bidi="ar-SA"/>
        </w:rPr>
        <w:t>中国（云南）自由贸易试验区“证照分离”</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jc w:val="center"/>
        <w:textAlignment w:val="auto"/>
        <w:rPr>
          <w:rFonts w:hint="eastAsia" w:ascii="宋体" w:hAnsi="宋体" w:eastAsia="方正小标宋简体" w:cs="方正小标宋简体"/>
          <w:kern w:val="0"/>
          <w:sz w:val="44"/>
          <w:szCs w:val="44"/>
          <w:lang w:val="en-US" w:eastAsia="zh-CN" w:bidi="ar-SA"/>
        </w:rPr>
      </w:pPr>
      <w:r>
        <w:rPr>
          <w:rFonts w:hint="eastAsia" w:ascii="宋体" w:hAnsi="宋体" w:eastAsia="方正小标宋简体" w:cs="方正小标宋简体"/>
          <w:kern w:val="0"/>
          <w:sz w:val="44"/>
          <w:szCs w:val="44"/>
          <w:lang w:val="en-US" w:eastAsia="zh-CN" w:bidi="ar-SA"/>
        </w:rPr>
        <w:t>改革全覆盖试点地方金融监管举措</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jc w:val="center"/>
        <w:textAlignment w:val="auto"/>
        <w:rPr>
          <w:rFonts w:hint="eastAsia" w:ascii="宋体" w:hAnsi="宋体" w:eastAsia="方正小标宋简体" w:cs="方正小标宋简体"/>
          <w:kern w:val="0"/>
          <w:sz w:val="44"/>
          <w:szCs w:val="44"/>
          <w:lang w:val="en-US" w:eastAsia="zh-CN" w:bidi="ar-SA"/>
        </w:rPr>
      </w:pPr>
      <w:r>
        <w:rPr>
          <w:rFonts w:hint="eastAsia" w:ascii="宋体" w:hAnsi="宋体" w:eastAsia="方正小标宋简体" w:cs="方正小标宋简体"/>
          <w:kern w:val="0"/>
          <w:sz w:val="44"/>
          <w:szCs w:val="44"/>
          <w:lang w:val="en-US" w:eastAsia="zh-CN" w:bidi="ar-SA"/>
        </w:rPr>
        <w:t>和事中事后监管措施</w:t>
      </w:r>
    </w:p>
    <w:p>
      <w:pPr>
        <w:keepNext w:val="0"/>
        <w:keepLines w:val="0"/>
        <w:pageBreakBefore w:val="0"/>
        <w:widowControl/>
        <w:kinsoku/>
        <w:wordWrap/>
        <w:overflowPunct/>
        <w:topLinePunct w:val="0"/>
        <w:autoSpaceDE/>
        <w:autoSpaceDN/>
        <w:bidi w:val="0"/>
        <w:adjustRightInd/>
        <w:snapToGrid/>
        <w:spacing w:line="580" w:lineRule="exact"/>
        <w:ind w:left="0" w:leftChars="0"/>
        <w:jc w:val="left"/>
        <w:textAlignment w:val="auto"/>
        <w:rPr>
          <w:rFonts w:hint="eastAsia" w:ascii="宋体" w:hAnsi="宋体" w:eastAsia="方正仿宋简体" w:cs="方正仿宋简体"/>
          <w:kern w:val="0"/>
          <w:sz w:val="32"/>
          <w:szCs w:val="32"/>
        </w:rPr>
      </w:pPr>
    </w:p>
    <w:p>
      <w:pPr>
        <w:keepNext w:val="0"/>
        <w:keepLines w:val="0"/>
        <w:pageBreakBefore w:val="0"/>
        <w:widowControl/>
        <w:kinsoku/>
        <w:wordWrap/>
        <w:overflowPunct/>
        <w:topLinePunct w:val="0"/>
        <w:autoSpaceDE/>
        <w:autoSpaceDN/>
        <w:bidi w:val="0"/>
        <w:adjustRightInd/>
        <w:snapToGrid/>
        <w:spacing w:line="580" w:lineRule="exact"/>
        <w:ind w:left="0" w:leftChars="0" w:firstLine="632" w:firstLineChars="200"/>
        <w:jc w:val="left"/>
        <w:textAlignment w:val="auto"/>
        <w:rPr>
          <w:rFonts w:hint="eastAsia" w:ascii="宋体" w:hAnsi="宋体" w:eastAsia="方正黑体简体" w:cs="方正黑体简体"/>
          <w:kern w:val="0"/>
          <w:sz w:val="32"/>
          <w:szCs w:val="32"/>
        </w:rPr>
      </w:pPr>
      <w:r>
        <w:rPr>
          <w:rFonts w:hint="eastAsia" w:ascii="宋体" w:hAnsi="宋体" w:eastAsia="方正黑体简体" w:cs="方正黑体简体"/>
          <w:kern w:val="0"/>
          <w:sz w:val="32"/>
          <w:szCs w:val="32"/>
        </w:rPr>
        <w:t>一、主管</w:t>
      </w:r>
      <w:r>
        <w:rPr>
          <w:rFonts w:hint="eastAsia" w:ascii="宋体" w:hAnsi="宋体" w:eastAsia="方正黑体简体" w:cs="方正黑体简体"/>
          <w:kern w:val="0"/>
          <w:sz w:val="32"/>
          <w:szCs w:val="32"/>
          <w:lang w:eastAsia="zh-CN"/>
        </w:rPr>
        <w:t>处室</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省地方金融监管局金融四处、政策法规处。</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黑体简体" w:cs="方正黑体简体"/>
          <w:sz w:val="32"/>
          <w:szCs w:val="32"/>
        </w:rPr>
      </w:pPr>
      <w:r>
        <w:rPr>
          <w:rFonts w:hint="eastAsia" w:ascii="宋体" w:hAnsi="宋体" w:eastAsia="方正黑体简体" w:cs="方正黑体简体"/>
          <w:sz w:val="32"/>
          <w:szCs w:val="32"/>
        </w:rPr>
        <w:t>二、改革内容</w:t>
      </w:r>
    </w:p>
    <w:p>
      <w:pPr>
        <w:keepNext w:val="0"/>
        <w:keepLines w:val="0"/>
        <w:pageBreakBefore w:val="0"/>
        <w:widowControl/>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根据《云南省人民政府关于印发中国（云南）自由贸易试验区“证照分离”改革全覆盖试点实施方案的通知》（云政发〔2019〕29号）和《中国银保监会关于在自由贸易试验区开展“证照分离”改革全覆盖试点的实施方案（试行）》（银保监办便函〔2019〕1803号），涉及地方金融监管改革内容如下:</w:t>
      </w:r>
    </w:p>
    <w:p>
      <w:pPr>
        <w:keepNext w:val="0"/>
        <w:keepLines w:val="0"/>
        <w:pageBreakBefore w:val="0"/>
        <w:widowControl/>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（一）对融资担保公司设立、变更审批优化审批服务，将审批时限由30个工作日压减至20个工作日。</w:t>
      </w:r>
    </w:p>
    <w:p>
      <w:pPr>
        <w:keepNext w:val="0"/>
        <w:keepLines w:val="0"/>
        <w:pageBreakBefore w:val="0"/>
        <w:widowControl/>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（二）对设立典当行及分支机构审批优化审批服务，将典当经营许可证的有效期限由6年延长至10年。</w:t>
      </w:r>
    </w:p>
    <w:p>
      <w:pPr>
        <w:keepNext w:val="0"/>
        <w:keepLines w:val="0"/>
        <w:pageBreakBefore w:val="0"/>
        <w:widowControl/>
        <w:kinsoku/>
        <w:wordWrap/>
        <w:overflowPunct/>
        <w:topLinePunct w:val="0"/>
        <w:autoSpaceDE/>
        <w:autoSpaceDN/>
        <w:bidi w:val="0"/>
        <w:adjustRightInd/>
        <w:snapToGrid/>
        <w:spacing w:line="580" w:lineRule="exact"/>
        <w:ind w:left="0" w:leftChars="0" w:firstLine="632" w:firstLineChars="200"/>
        <w:jc w:val="left"/>
        <w:textAlignment w:val="auto"/>
        <w:rPr>
          <w:rFonts w:hint="eastAsia" w:ascii="宋体" w:hAnsi="宋体" w:eastAsia="方正黑体简体" w:cs="方正黑体简体"/>
          <w:kern w:val="0"/>
          <w:sz w:val="32"/>
          <w:szCs w:val="32"/>
        </w:rPr>
      </w:pPr>
      <w:r>
        <w:rPr>
          <w:rFonts w:hint="eastAsia" w:ascii="宋体" w:hAnsi="宋体" w:eastAsia="方正黑体简体" w:cs="方正黑体简体"/>
          <w:kern w:val="0"/>
          <w:sz w:val="32"/>
          <w:szCs w:val="32"/>
        </w:rPr>
        <w:t>三、</w:t>
      </w:r>
      <w:r>
        <w:rPr>
          <w:rFonts w:hint="eastAsia" w:ascii="宋体" w:hAnsi="宋体" w:eastAsia="方正黑体简体" w:cs="方正黑体简体"/>
          <w:kern w:val="0"/>
          <w:sz w:val="32"/>
          <w:szCs w:val="32"/>
          <w:lang w:eastAsia="zh-CN"/>
        </w:rPr>
        <w:t>主要</w:t>
      </w:r>
      <w:r>
        <w:rPr>
          <w:rFonts w:hint="eastAsia" w:ascii="宋体" w:hAnsi="宋体" w:eastAsia="方正黑体简体" w:cs="方正黑体简体"/>
          <w:kern w:val="0"/>
          <w:sz w:val="32"/>
          <w:szCs w:val="32"/>
        </w:rPr>
        <w:t>依据</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《国务院对确需保留的行政审批项目设定行政许可的决定》、《融资担保公司监督管理条例》、《云南省融资担保公司监督管理实施细则》、《典当管理办法》。</w:t>
      </w:r>
    </w:p>
    <w:p>
      <w:pPr>
        <w:keepNext w:val="0"/>
        <w:keepLines w:val="0"/>
        <w:pageBreakBefore w:val="0"/>
        <w:widowControl/>
        <w:kinsoku/>
        <w:wordWrap/>
        <w:overflowPunct/>
        <w:topLinePunct w:val="0"/>
        <w:autoSpaceDE/>
        <w:autoSpaceDN/>
        <w:bidi w:val="0"/>
        <w:adjustRightInd/>
        <w:snapToGrid/>
        <w:spacing w:line="580" w:lineRule="exact"/>
        <w:ind w:left="0" w:leftChars="0" w:firstLine="632" w:firstLineChars="200"/>
        <w:jc w:val="left"/>
        <w:textAlignment w:val="auto"/>
        <w:rPr>
          <w:rFonts w:hint="eastAsia" w:ascii="宋体" w:hAnsi="宋体" w:eastAsia="方正黑体简体" w:cs="方正黑体简体"/>
          <w:kern w:val="0"/>
          <w:sz w:val="32"/>
          <w:szCs w:val="32"/>
        </w:rPr>
      </w:pPr>
      <w:r>
        <w:rPr>
          <w:rFonts w:hint="eastAsia" w:ascii="宋体" w:hAnsi="宋体" w:eastAsia="方正黑体简体" w:cs="方正黑体简体"/>
          <w:kern w:val="0"/>
          <w:sz w:val="32"/>
          <w:szCs w:val="32"/>
        </w:rPr>
        <w:t>四、许可条件</w:t>
      </w:r>
    </w:p>
    <w:p>
      <w:pPr>
        <w:keepNext w:val="0"/>
        <w:keepLines w:val="0"/>
        <w:pageBreakBefore w:val="0"/>
        <w:widowControl/>
        <w:kinsoku/>
        <w:wordWrap/>
        <w:overflowPunct/>
        <w:topLinePunct w:val="0"/>
        <w:autoSpaceDE/>
        <w:autoSpaceDN/>
        <w:bidi w:val="0"/>
        <w:adjustRightInd/>
        <w:snapToGrid/>
        <w:spacing w:line="580" w:lineRule="exact"/>
        <w:ind w:left="0" w:leftChars="0" w:firstLine="632" w:firstLineChars="200"/>
        <w:jc w:val="left"/>
        <w:textAlignment w:val="auto"/>
        <w:rPr>
          <w:rFonts w:hint="eastAsia" w:ascii="宋体" w:hAnsi="宋体" w:eastAsia="方正楷体简体" w:cs="方正楷体简体"/>
          <w:kern w:val="0"/>
          <w:sz w:val="32"/>
          <w:szCs w:val="32"/>
          <w:lang w:eastAsia="zh-CN"/>
        </w:rPr>
      </w:pPr>
      <w:r>
        <w:rPr>
          <w:rFonts w:hint="eastAsia" w:ascii="宋体" w:hAnsi="宋体" w:eastAsia="方正楷体简体" w:cs="方正楷体简体"/>
          <w:kern w:val="0"/>
          <w:sz w:val="32"/>
          <w:szCs w:val="32"/>
          <w:lang w:eastAsia="zh-CN"/>
        </w:rPr>
        <w:t>（一）融资担保公司</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1.设立融资担保公司，应当符合《中华人民共和国公司法》的规定，并具备下列条件：公司的名称中标明“融资担保”字样；股东信誉良好，最近3年无重大违法违规记录；注册资本不低于人民币2000万元，且为实缴货币资本；拟任董事、监事、高级管理人员熟悉与融资担保业务相关的法律法规，具有履行职责所需的从业经验和管理能力；有健全的业务规范和风险控制等内部管理制度。</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2.省外融资担保公司到我省设立分支机构应当具备以下条件：注册资本不低于人民币10亿元；经营融资担保业务3年以上，且最近2个会计年度连续盈利；最近2年无重大违法违规记录；拟任分支机构负责人应当具备履行职责所需从业经历和管理能力。</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3.融资担保公司在省内设立分支机构，增加注册资本，变更名称，变更业务范围，变更地址，变更持有5%以上股权的股东，变更董事、监事、高级管理人员，应当自分支机构设立之日起或者变更相关事项之日起30日内向省地方金融监管部门备案。变更后的相关事项应当符合设立融资担保公司条件的规定。</w:t>
      </w:r>
    </w:p>
    <w:p>
      <w:pPr>
        <w:pStyle w:val="2"/>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楷体简体" w:cs="方正楷体简体"/>
          <w:kern w:val="0"/>
          <w:sz w:val="32"/>
          <w:szCs w:val="32"/>
          <w:lang w:eastAsia="zh-CN"/>
        </w:rPr>
      </w:pPr>
      <w:r>
        <w:rPr>
          <w:rFonts w:hint="eastAsia" w:ascii="宋体" w:hAnsi="宋体" w:eastAsia="方正楷体简体" w:cs="方正楷体简体"/>
          <w:kern w:val="0"/>
          <w:sz w:val="32"/>
          <w:szCs w:val="32"/>
          <w:lang w:eastAsia="zh-CN"/>
        </w:rPr>
        <w:t>（二）典当行</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1.设立典当行，应当具备以下条件：有符合法律、法规规定的章程；注册资本最低限额为300万元，从事房地产抵押典当业务的注册资本最低限额为500万元，从事财产权利质押典当业务的注册资本最低限额为1000万元；有符合要求的营业场所和办理业务必需的设施；有熟悉典当业务的经营管理人员及鉴定评估人员；有两个以上法人股东，且法人股相对控股；有符合规定的安全制度和安全防范设施。</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2.典当行设立分支机构，应当具备以下条件：经营典当业务三年以上，注册资本不少于人民币1500万元；最近两年连续盈利；最近两年无违法违规经营记录；有符合规定的安全制度和安全防范设施；典当行应当对每个分支机构拨付不少于500万元的营运资金，且典当行各分支机构营运资金总额不得超过典当行注册资本的50%。</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3.典当行变更机构名称、注册资本、法定代表人、变更住所、转让股份的，应当经省地方金融监管部门批准。变更后的相关事项应当符合设立典当行条件的规定。</w:t>
      </w:r>
    </w:p>
    <w:p>
      <w:pPr>
        <w:keepNext w:val="0"/>
        <w:keepLines w:val="0"/>
        <w:pageBreakBefore w:val="0"/>
        <w:widowControl/>
        <w:kinsoku/>
        <w:wordWrap/>
        <w:overflowPunct/>
        <w:topLinePunct w:val="0"/>
        <w:autoSpaceDE/>
        <w:autoSpaceDN/>
        <w:bidi w:val="0"/>
        <w:adjustRightInd/>
        <w:snapToGrid/>
        <w:spacing w:line="580" w:lineRule="exact"/>
        <w:ind w:left="0" w:leftChars="0" w:firstLine="632" w:firstLineChars="200"/>
        <w:jc w:val="left"/>
        <w:textAlignment w:val="auto"/>
        <w:rPr>
          <w:rFonts w:hint="eastAsia" w:ascii="宋体" w:hAnsi="宋体" w:eastAsia="方正黑体简体" w:cs="方正黑体简体"/>
          <w:kern w:val="0"/>
          <w:sz w:val="32"/>
          <w:szCs w:val="32"/>
        </w:rPr>
      </w:pPr>
      <w:r>
        <w:rPr>
          <w:rFonts w:hint="eastAsia" w:ascii="宋体" w:hAnsi="宋体" w:eastAsia="方正黑体简体" w:cs="方正黑体简体"/>
          <w:kern w:val="0"/>
          <w:sz w:val="32"/>
          <w:szCs w:val="32"/>
        </w:rPr>
        <w:t>五、材料要求</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融资担保公司设立、变更，设立典当行及分支机构，应当向省地方金融监管部门提交申请书和证明其符合相关监管规定条件的材料。材料清单分别参照《云南省融资担保公司设立变更注销事项办理工作指引（试行）》、《典当行及分支机构设立、变更、注销经营许可事项工作指南》。</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firstLine="632" w:firstLineChars="200"/>
        <w:jc w:val="left"/>
        <w:textAlignment w:val="auto"/>
        <w:rPr>
          <w:rFonts w:hint="eastAsia" w:ascii="宋体" w:hAnsi="宋体" w:eastAsia="方正黑体简体" w:cs="方正黑体简体"/>
          <w:kern w:val="0"/>
          <w:sz w:val="32"/>
          <w:szCs w:val="32"/>
        </w:rPr>
      </w:pPr>
      <w:r>
        <w:rPr>
          <w:rFonts w:hint="eastAsia" w:ascii="宋体" w:hAnsi="宋体" w:eastAsia="方正黑体简体" w:cs="方正黑体简体"/>
          <w:kern w:val="0"/>
          <w:sz w:val="32"/>
          <w:szCs w:val="32"/>
          <w:lang w:eastAsia="zh-CN"/>
        </w:rPr>
        <w:t>六、</w:t>
      </w:r>
      <w:r>
        <w:rPr>
          <w:rFonts w:hint="eastAsia" w:ascii="宋体" w:hAnsi="宋体" w:eastAsia="方正黑体简体" w:cs="方正黑体简体"/>
          <w:kern w:val="0"/>
          <w:sz w:val="32"/>
          <w:szCs w:val="32"/>
        </w:rPr>
        <w:t>程序环节</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left="0" w:leftChars="0" w:firstLine="632" w:firstLineChars="200"/>
        <w:jc w:val="left"/>
        <w:textAlignment w:val="auto"/>
        <w:rPr>
          <w:rFonts w:hint="eastAsia" w:ascii="宋体" w:hAnsi="宋体" w:eastAsia="方正楷体简体" w:cs="方正楷体简体"/>
          <w:sz w:val="32"/>
          <w:szCs w:val="32"/>
        </w:rPr>
      </w:pPr>
      <w:r>
        <w:rPr>
          <w:rFonts w:hint="eastAsia" w:ascii="宋体" w:hAnsi="宋体" w:eastAsia="方正楷体简体" w:cs="方正楷体简体"/>
          <w:sz w:val="32"/>
          <w:szCs w:val="32"/>
          <w:lang w:eastAsia="zh-CN"/>
        </w:rPr>
        <w:t>（一）</w:t>
      </w:r>
      <w:r>
        <w:rPr>
          <w:rFonts w:hint="eastAsia" w:ascii="宋体" w:hAnsi="宋体" w:eastAsia="方正楷体简体" w:cs="方正楷体简体"/>
          <w:sz w:val="32"/>
          <w:szCs w:val="32"/>
        </w:rPr>
        <w:t>办理程序</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融资担保公司设立、变更，应接受片区监管部门业务指导和监管审核，在取得片区监管部门同意后报省地方金融监管局审批或备案。设立典当行及分支机构，应向机构所地在片区监管部门提交申请材料，片区监管部门初审同意后报省地方金融监管局审批。</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省地方金融监管局通过“一网通办”等形式收到申请材料后5个工作日内出具受理、不予受理或补正通知书。对予以受理的，省地方金融监管局审查后做出是否准予许可或备案的决定。</w:t>
      </w:r>
    </w:p>
    <w:p>
      <w:pPr>
        <w:keepNext w:val="0"/>
        <w:keepLines w:val="0"/>
        <w:pageBreakBefore w:val="0"/>
        <w:widowControl/>
        <w:kinsoku/>
        <w:wordWrap/>
        <w:overflowPunct/>
        <w:topLinePunct w:val="0"/>
        <w:autoSpaceDE/>
        <w:autoSpaceDN/>
        <w:bidi w:val="0"/>
        <w:adjustRightInd/>
        <w:snapToGrid/>
        <w:spacing w:line="580" w:lineRule="exact"/>
        <w:ind w:left="0" w:leftChars="0" w:firstLine="632" w:firstLineChars="200"/>
        <w:jc w:val="left"/>
        <w:textAlignment w:val="auto"/>
        <w:rPr>
          <w:rFonts w:hint="eastAsia" w:ascii="宋体" w:hAnsi="宋体" w:eastAsia="方正楷体简体" w:cs="方正楷体简体"/>
          <w:sz w:val="32"/>
          <w:szCs w:val="32"/>
        </w:rPr>
      </w:pPr>
      <w:r>
        <w:rPr>
          <w:rFonts w:hint="eastAsia" w:ascii="宋体" w:hAnsi="宋体" w:eastAsia="方正楷体简体" w:cs="方正楷体简体"/>
          <w:sz w:val="32"/>
          <w:szCs w:val="32"/>
        </w:rPr>
        <w:t>（二）审批时限</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default"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省地方金融监管局受理后20个工作日内完成审批。</w:t>
      </w:r>
    </w:p>
    <w:p>
      <w:pPr>
        <w:keepNext w:val="0"/>
        <w:keepLines w:val="0"/>
        <w:pageBreakBefore w:val="0"/>
        <w:widowControl/>
        <w:kinsoku/>
        <w:wordWrap/>
        <w:overflowPunct/>
        <w:topLinePunct w:val="0"/>
        <w:autoSpaceDE/>
        <w:autoSpaceDN/>
        <w:bidi w:val="0"/>
        <w:adjustRightInd/>
        <w:snapToGrid/>
        <w:spacing w:line="580" w:lineRule="exact"/>
        <w:ind w:left="0" w:leftChars="0" w:firstLine="632" w:firstLineChars="200"/>
        <w:jc w:val="left"/>
        <w:textAlignment w:val="auto"/>
        <w:rPr>
          <w:rFonts w:hint="eastAsia" w:ascii="宋体" w:hAnsi="宋体" w:eastAsia="方正黑体简体" w:cs="方正黑体简体"/>
          <w:kern w:val="0"/>
          <w:sz w:val="32"/>
          <w:szCs w:val="32"/>
        </w:rPr>
      </w:pPr>
      <w:r>
        <w:rPr>
          <w:rFonts w:hint="eastAsia" w:ascii="宋体" w:hAnsi="宋体" w:eastAsia="方正黑体简体" w:cs="方正黑体简体"/>
          <w:sz w:val="32"/>
          <w:szCs w:val="32"/>
        </w:rPr>
        <w:t>七、</w:t>
      </w:r>
      <w:r>
        <w:rPr>
          <w:rFonts w:hint="eastAsia" w:ascii="宋体" w:hAnsi="宋体" w:eastAsia="方正黑体简体" w:cs="方正黑体简体"/>
          <w:kern w:val="0"/>
          <w:sz w:val="32"/>
          <w:szCs w:val="32"/>
        </w:rPr>
        <w:t>监管措施</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楷体简体" w:cs="方正楷体简体"/>
          <w:kern w:val="0"/>
          <w:sz w:val="32"/>
          <w:szCs w:val="32"/>
          <w:lang w:eastAsia="zh-CN"/>
        </w:rPr>
      </w:pPr>
      <w:r>
        <w:rPr>
          <w:rFonts w:hint="eastAsia" w:ascii="宋体" w:hAnsi="宋体" w:eastAsia="方正楷体简体" w:cs="方正楷体简体"/>
          <w:kern w:val="0"/>
          <w:sz w:val="32"/>
          <w:szCs w:val="32"/>
        </w:rPr>
        <w:t>（一）</w:t>
      </w:r>
      <w:r>
        <w:rPr>
          <w:rFonts w:hint="eastAsia" w:ascii="宋体" w:hAnsi="宋体" w:eastAsia="方正楷体简体" w:cs="方正楷体简体"/>
          <w:kern w:val="0"/>
          <w:sz w:val="32"/>
          <w:szCs w:val="32"/>
          <w:lang w:eastAsia="zh-CN"/>
        </w:rPr>
        <w:t>提升监管效能</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各片区监管部门要按照有关监管规定，加强对融资担保公司、典当行的非现场监管和现场检查，每年至少应当对融资担保公司、典当行开展一次现场检查。按要求开展融资担保公司监管分类评级和典当行年审，并向社会公告，提高监管透明度。同时，强化对融资担保公司、典当行的信息收集与核实、风险监测与评估、信息报送与使用，加强与市场监管、人民银行、银保监等相关部门的信息共享和沟通，建立监督协调机制和信息共享机制，提高监管效能，形成监管合力。</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楷体简体" w:cs="方正楷体简体"/>
          <w:kern w:val="0"/>
          <w:sz w:val="32"/>
          <w:szCs w:val="32"/>
          <w:lang w:eastAsia="zh-CN"/>
        </w:rPr>
      </w:pPr>
      <w:r>
        <w:rPr>
          <w:rFonts w:hint="eastAsia" w:ascii="宋体" w:hAnsi="宋体" w:eastAsia="方正楷体简体" w:cs="方正楷体简体"/>
          <w:kern w:val="0"/>
          <w:sz w:val="32"/>
          <w:szCs w:val="32"/>
          <w:lang w:eastAsia="zh-CN"/>
        </w:rPr>
        <w:t>（二）强化日常监管</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各片区监管部门应加强对本片区融资担保公司、典当行的日</w:t>
      </w:r>
      <w:r>
        <w:rPr>
          <w:rFonts w:ascii="宋体" w:hAnsi="宋体"/>
          <w:sz w:val="32"/>
        </w:rPr>
        <mc:AlternateContent>
          <mc:Choice Requires="wps">
            <w:drawing>
              <wp:anchor distT="0" distB="0" distL="114300" distR="114300" simplePos="0" relativeHeight="251659264" behindDoc="1" locked="0" layoutInCell="1" allowOverlap="1">
                <wp:simplePos x="0" y="0"/>
                <wp:positionH relativeFrom="column">
                  <wp:posOffset>3327400</wp:posOffset>
                </wp:positionH>
                <wp:positionV relativeFrom="paragraph">
                  <wp:posOffset>8143240</wp:posOffset>
                </wp:positionV>
                <wp:extent cx="2171065" cy="6946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171065" cy="694690"/>
                        </a:xfrm>
                        <a:prstGeom prst="rect">
                          <a:avLst/>
                        </a:prstGeom>
                        <a:noFill/>
                        <a:ln>
                          <a:noFill/>
                        </a:ln>
                      </wps:spPr>
                      <wps:txbx>
                        <w:txbxContent>
                          <w:p>
                            <w:pPr>
                              <w:rPr>
                                <w:rFonts w:hint="eastAsia" w:eastAsia="宋体"/>
                                <w:lang w:eastAsia="zh-CN"/>
                              </w:rPr>
                            </w:pPr>
                          </w:p>
                        </w:txbxContent>
                      </wps:txbx>
                      <wps:bodyPr wrap="none" lIns="90043" tIns="46863" rIns="90043" bIns="46863" upright="1">
                        <a:spAutoFit/>
                      </wps:bodyPr>
                    </wps:wsp>
                  </a:graphicData>
                </a:graphic>
              </wp:anchor>
            </w:drawing>
          </mc:Choice>
          <mc:Fallback>
            <w:pict>
              <v:shape id="_x0000_s1026" o:spid="_x0000_s1026" o:spt="202" type="#_x0000_t202" style="position:absolute;left:0pt;margin-left:262pt;margin-top:641.2pt;height:54.7pt;width:170.95pt;mso-wrap-style:none;z-index:-251657216;mso-width-relative:page;mso-height-relative:page;" filled="f" stroked="f" coordsize="21600,21600" o:gfxdata="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uCtvXAAAADQEAAA8AAAAAAAAAAQAgAAAAIgAAAGRycy9kb3ducmV2LnhtbFBL&#10;AQIUABQAAAAIAIdO4kDlrHILvgEAAFoDAAAOAAAAAAAAAAEAIAAAACYBAABkcnMvZTJvRG9jLnht&#10;bFBLBQYAAAAABgAGAFkBAABWBQAAAAA=&#10;">
                <v:fill on="f" focussize="0,0"/>
                <v:stroke on="f"/>
                <v:imagedata o:title=""/>
                <o:lock v:ext="edit" aspectratio="f"/>
                <v:textbox inset="7.09pt,1.30175mm,7.09pt,1.30175mm" style="mso-fit-shape-to-text:t;">
                  <w:txbxContent>
                    <w:p>
                      <w:pPr>
                        <w:rPr>
                          <w:rFonts w:hint="eastAsia" w:eastAsia="宋体"/>
                          <w:lang w:eastAsia="zh-CN"/>
                        </w:rPr>
                      </w:pPr>
                    </w:p>
                  </w:txbxContent>
                </v:textbox>
              </v:shape>
            </w:pict>
          </mc:Fallback>
        </mc:AlternateContent>
      </w:r>
      <w:r>
        <w:rPr>
          <w:rFonts w:hint="eastAsia" w:ascii="宋体" w:hAnsi="宋体" w:eastAsia="方正仿宋简体" w:cs="方正仿宋简体"/>
          <w:color w:val="000000"/>
          <w:kern w:val="2"/>
          <w:sz w:val="32"/>
          <w:szCs w:val="32"/>
          <w:lang w:val="en-US" w:eastAsia="zh-CN" w:bidi="ar-SA"/>
        </w:rPr>
        <w:t>常监管，及时收集掌握企业经营情况。要制定风险处置预案，对主要监管指标数据有异动，发生举报投诉、重大风险、突发事件的，应及时进行核查，并针对问题进行风险提示、监管谈话，对日常监管中发现的违法违规行为，依法严格实施行政处罚。</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楷体简体" w:cs="方正楷体简体"/>
          <w:kern w:val="0"/>
          <w:sz w:val="32"/>
          <w:szCs w:val="32"/>
          <w:lang w:eastAsia="zh-CN"/>
        </w:rPr>
      </w:pPr>
      <w:r>
        <w:rPr>
          <w:rFonts w:hint="eastAsia" w:ascii="宋体" w:hAnsi="宋体" w:eastAsia="方正楷体简体" w:cs="方正楷体简体"/>
          <w:kern w:val="0"/>
          <w:sz w:val="32"/>
          <w:szCs w:val="32"/>
          <w:lang w:eastAsia="zh-CN"/>
        </w:rPr>
        <w:t>（三）营造良好氛围</w:t>
      </w:r>
    </w:p>
    <w:p>
      <w:pPr>
        <w:keepNext w:val="0"/>
        <w:keepLines w:val="0"/>
        <w:pageBreakBefore w:val="0"/>
        <w:kinsoku/>
        <w:wordWrap/>
        <w:overflowPunct/>
        <w:topLinePunct w:val="0"/>
        <w:autoSpaceDE/>
        <w:autoSpaceDN/>
        <w:bidi w:val="0"/>
        <w:adjustRightInd/>
        <w:snapToGrid/>
        <w:spacing w:line="580" w:lineRule="exact"/>
        <w:ind w:left="0" w:leftChars="0" w:firstLine="632" w:firstLineChars="200"/>
        <w:textAlignment w:val="auto"/>
        <w:rPr>
          <w:rFonts w:hint="eastAsia" w:ascii="宋体" w:hAnsi="宋体" w:eastAsia="方正仿宋简体" w:cs="方正仿宋简体"/>
          <w:color w:val="000000"/>
          <w:kern w:val="2"/>
          <w:sz w:val="32"/>
          <w:szCs w:val="32"/>
          <w:lang w:val="en-US" w:eastAsia="zh-CN" w:bidi="ar-SA"/>
        </w:rPr>
      </w:pPr>
      <w:r>
        <w:rPr>
          <w:rFonts w:hint="eastAsia" w:ascii="宋体" w:hAnsi="宋体" w:eastAsia="方正仿宋简体" w:cs="方正仿宋简体"/>
          <w:color w:val="000000"/>
          <w:kern w:val="2"/>
          <w:sz w:val="32"/>
          <w:szCs w:val="32"/>
          <w:lang w:val="en-US" w:eastAsia="zh-CN" w:bidi="ar-SA"/>
        </w:rPr>
        <w:t>各片区监管部门要积极做好“证照分离”改革全覆盖试点工作中涉及融资担保公司、典当行行政许可服务事项的相关政策和要求的宣传培训，进一步扩大政策知晓度。同时，积极总结经验，不断完善措施，营造有利于改革的良好氛围。</w:t>
      </w:r>
    </w:p>
    <w:p>
      <w:pPr>
        <w:pStyle w:val="2"/>
        <w:sectPr>
          <w:footerReference r:id="rId3" w:type="default"/>
          <w:pgSz w:w="11906" w:h="16838"/>
          <w:pgMar w:top="2041" w:right="1474" w:bottom="1984" w:left="1587" w:header="851" w:footer="1587" w:gutter="0"/>
          <w:pgNumType w:fmt="decimal" w:start="1"/>
          <w:cols w:space="720" w:num="1"/>
          <w:rtlGutter w:val="0"/>
          <w:docGrid w:type="linesAndChars" w:linePitch="582" w:charSpace="-842"/>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仿宋简体">
    <w:altName w:val="Arial Unicode MS"/>
    <w:panose1 w:val="02010601030101010101"/>
    <w:charset w:val="86"/>
    <w:family w:val="auto"/>
    <w:pitch w:val="default"/>
    <w:sig w:usb0="00000000" w:usb1="00000000" w:usb2="00000000" w:usb3="00000000" w:csb0="00040000" w:csb1="00000000"/>
  </w:font>
  <w:font w:name="FZXBSJW--GB1-0">
    <w:altName w:val="Segoe Print"/>
    <w:panose1 w:val="00000000000000000000"/>
    <w:charset w:val="00"/>
    <w:family w:val="auto"/>
    <w:pitch w:val="default"/>
    <w:sig w:usb0="00000000" w:usb1="00000000" w:usb2="00000000" w:usb3="00000000" w:csb0="00040001" w:csb1="00000000"/>
  </w:font>
  <w:font w:name="FZFSK--GBK1-0">
    <w:altName w:val="Segoe Print"/>
    <w:panose1 w:val="00000000000000000000"/>
    <w:charset w:val="00"/>
    <w:family w:val="auto"/>
    <w:pitch w:val="default"/>
    <w:sig w:usb0="00000000" w:usb1="00000000" w:usb2="00000000"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altName w:val="Arial Unicode MS"/>
    <w:panose1 w:val="02010601030101010101"/>
    <w:charset w:val="86"/>
    <w:family w:val="auto"/>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CE58EA"/>
    <w:rsid w:val="1DCE58EA"/>
    <w:rsid w:val="250F6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方正仿宋简体" w:cs="Times New Roman"/>
      <w:kern w:val="2"/>
      <w:sz w:val="32"/>
      <w:szCs w:val="3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Indent"/>
    <w:basedOn w:val="1"/>
    <w:next w:val="1"/>
    <w:unhideWhenUsed/>
    <w:qFormat/>
    <w:uiPriority w:val="99"/>
    <w:pPr>
      <w:ind w:firstLine="200" w:firstLineChars="200"/>
    </w:pPr>
    <w:rPr>
      <w:rFonts w:ascii="宋体" w:hAnsi="宋体"/>
      <w:sz w:val="28"/>
      <w:szCs w:val="24"/>
    </w:r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rPr>
  </w:style>
  <w:style w:type="character" w:customStyle="1" w:styleId="7">
    <w:name w:val="fontstyle01"/>
    <w:basedOn w:val="5"/>
    <w:qFormat/>
    <w:uiPriority w:val="0"/>
    <w:rPr>
      <w:rFonts w:ascii="FZXBSJW--GB1-0" w:hAnsi="FZXBSJW--GB1-0" w:eastAsia="FZXBSJW--GB1-0" w:cs="FZXBSJW--GB1-0"/>
      <w:color w:val="333333"/>
      <w:sz w:val="44"/>
      <w:szCs w:val="44"/>
    </w:rPr>
  </w:style>
  <w:style w:type="character" w:customStyle="1" w:styleId="8">
    <w:name w:val="fontstyle21"/>
    <w:basedOn w:val="5"/>
    <w:qFormat/>
    <w:uiPriority w:val="0"/>
    <w:rPr>
      <w:rFonts w:ascii="FZFSK--GBK1-0" w:hAnsi="FZFSK--GBK1-0" w:eastAsia="FZFSK--GBK1-0" w:cs="FZFSK--GBK1-0"/>
      <w:color w:val="000000"/>
      <w:sz w:val="32"/>
      <w:szCs w:val="32"/>
    </w:rPr>
  </w:style>
  <w:style w:type="character" w:customStyle="1" w:styleId="9">
    <w:name w:val="fontstyle31"/>
    <w:basedOn w:val="5"/>
    <w:qFormat/>
    <w:uiPriority w:val="0"/>
    <w:rPr>
      <w:rFonts w:ascii="TimesNewRomanPSMT" w:hAnsi="TimesNewRomanPSMT" w:eastAsia="TimesNewRomanPSMT" w:cs="TimesNewRomanPSMT"/>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2021-12-28T03:53:00Z</dcterms:created>
  <dc:creator>木夏</dc:creator>
  <cp:lastModifiedBy>pc05</cp:lastModifiedBy>
  <dcterms:modified xsi:type="dcterms:W3CDTF">2021-12-29T09:32:34Z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y fmtid="{D5CDD505-2E9C-101B-9397-08002B2CF9AE}" pid="3" name="ICV">
    <vt:lpwstr>7C2C9A58E09440AAA4B53710D2436E9F</vt:lpwstr>
  </property>
</Properties>
</file>