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云南省地方金融监督管理局</w:t>
      </w:r>
    </w:p>
    <w:p>
      <w:pPr>
        <w:ind w:firstLine="360" w:firstLineChars="1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2019年度预算公开关于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机关运行经费”的补充说明</w:t>
      </w:r>
    </w:p>
    <w:p>
      <w:pPr>
        <w:ind w:left="630"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snapToGrid w:val="0"/>
        <w:spacing w:before="100" w:after="100" w:line="600" w:lineRule="exact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一、“机关运行经费变化情况及原因（与上年对比）</w:t>
      </w:r>
    </w:p>
    <w:p>
      <w:pPr>
        <w:widowControl/>
        <w:snapToGrid w:val="0"/>
        <w:spacing w:before="100" w:after="100" w:line="600" w:lineRule="exact"/>
        <w:ind w:firstLine="600" w:firstLineChars="200"/>
        <w:jc w:val="lef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2019年的机关运行经费总额1458.30万元，较上年的1311.50万元增加146.80万元，主要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原因是机构改革人员经费调整和机动经费预算新增。</w:t>
      </w:r>
    </w:p>
    <w:p>
      <w:pPr>
        <w:jc w:val="left"/>
        <w:rPr>
          <w:rFonts w:ascii="方正仿宋简体" w:hAnsi="方正仿宋简体" w:eastAsia="方正仿宋简体" w:cs="方正仿宋简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56"/>
    <w:rsid w:val="00644556"/>
    <w:rsid w:val="00A6706A"/>
    <w:rsid w:val="00D75BEC"/>
    <w:rsid w:val="2E7B72D6"/>
    <w:rsid w:val="5EB9214E"/>
    <w:rsid w:val="7C13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130</Characters>
  <Lines>1</Lines>
  <Paragraphs>1</Paragraphs>
  <TotalTime>0</TotalTime>
  <ScaleCrop>false</ScaleCrop>
  <LinksUpToDate>false</LinksUpToDate>
  <CharactersWithSpaces>151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Orion</cp:lastModifiedBy>
  <dcterms:modified xsi:type="dcterms:W3CDTF">2020-04-30T07:37:33Z</dcterms:modified>
  <dc:title>云南省地方金融监督管理局关于2019年度预算公开机关运行经费增减变化情况及原因的补充说明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