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80" w:lineRule="exact"/>
        <w:textAlignment w:val="auto"/>
      </w:pPr>
      <w:bookmarkStart w:id="0" w:name="_GoBack"/>
      <w:bookmarkEnd w:id="0"/>
    </w:p>
    <w:p>
      <w:pPr>
        <w:keepNext w:val="0"/>
        <w:keepLines w:val="0"/>
        <w:pageBreakBefore w:val="0"/>
        <w:widowControl w:val="0"/>
        <w:kinsoku/>
        <w:wordWrap/>
        <w:overflowPunct/>
        <w:topLinePunct w:val="0"/>
        <w:autoSpaceDE/>
        <w:autoSpaceDN/>
        <w:bidi w:val="0"/>
        <w:adjustRightInd/>
        <w:snapToGrid/>
        <w:spacing w:line="580" w:lineRule="exact"/>
        <w:textAlignment w:val="auto"/>
      </w:pP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rPr>
      </w:pPr>
      <w:r>
        <w:rPr>
          <w:rFonts w:hint="eastAsia" w:ascii="方正小标宋简体" w:hAnsi="方正小标宋简体" w:eastAsia="方正小标宋简体" w:cs="方正小标宋简体"/>
          <w:sz w:val="44"/>
          <w:szCs w:val="44"/>
        </w:rPr>
        <w:t>云南</w:t>
      </w:r>
      <w:r>
        <w:rPr>
          <w:rFonts w:hint="eastAsia" w:ascii="方正小标宋简体" w:hAnsi="方正小标宋简体" w:eastAsia="方正小标宋简体" w:cs="方正小标宋简体"/>
          <w:sz w:val="44"/>
          <w:szCs w:val="44"/>
          <w:lang w:eastAsia="zh-CN"/>
        </w:rPr>
        <w:t>省</w:t>
      </w:r>
      <w:r>
        <w:rPr>
          <w:rFonts w:hint="eastAsia" w:ascii="方正小标宋简体" w:hAnsi="方正小标宋简体" w:eastAsia="方正小标宋简体" w:cs="方正小标宋简体"/>
          <w:sz w:val="44"/>
          <w:szCs w:val="44"/>
        </w:rPr>
        <w:t>防范和处置非法集资工作实施细则</w:t>
      </w: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rPr>
      </w:pPr>
      <w:r>
        <w:rPr>
          <w:rFonts w:hint="eastAsia" w:ascii="方正楷体简体" w:hAnsi="方正楷体简体" w:eastAsia="方正楷体简体" w:cs="方正楷体简体"/>
        </w:rPr>
        <w:t>（</w:t>
      </w:r>
      <w:r>
        <w:rPr>
          <w:rFonts w:hint="eastAsia" w:ascii="方正楷体简体" w:hAnsi="方正楷体简体" w:eastAsia="方正楷体简体" w:cs="方正楷体简体"/>
          <w:lang w:eastAsia="zh-CN"/>
        </w:rPr>
        <w:t>征求意见</w:t>
      </w:r>
      <w:r>
        <w:rPr>
          <w:rFonts w:hint="eastAsia" w:ascii="方正楷体简体" w:hAnsi="方正楷体简体" w:eastAsia="方正楷体简体" w:cs="方正楷体简体"/>
        </w:rPr>
        <w:t>稿）</w:t>
      </w: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rPr>
      </w:pP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rPr>
      </w:pPr>
      <w:r>
        <w:rPr>
          <w:rFonts w:hint="eastAsia" w:ascii="方正黑体简体" w:hAnsi="方正黑体简体" w:eastAsia="方正黑体简体" w:cs="方正黑体简体"/>
        </w:rPr>
        <w:t>第一章  总  则</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pPr>
      <w:r>
        <w:rPr>
          <w:rFonts w:hint="eastAsia" w:ascii="方正黑体简体" w:hAnsi="方正黑体简体" w:eastAsia="方正黑体简体" w:cs="方正黑体简体"/>
        </w:rPr>
        <w:t>第一条【目的依据】</w:t>
      </w:r>
      <w:r>
        <w:rPr>
          <w:rFonts w:hint="eastAsia"/>
        </w:rPr>
        <w:t xml:space="preserve">  为防范和处置非法集资，保护社会公众合法权益，防范化解金融风险，维护经济秩序和社会稳定</w:t>
      </w:r>
      <w:r>
        <w:rPr>
          <w:rFonts w:hint="eastAsia"/>
          <w:b w:val="0"/>
          <w:bCs w:val="0"/>
        </w:rPr>
        <w:t>，根据《中华人民共和国行政处罚法》</w:t>
      </w:r>
      <w:r>
        <w:rPr>
          <w:rFonts w:hint="eastAsia"/>
          <w:b w:val="0"/>
          <w:bCs w:val="0"/>
          <w:lang w:eastAsia="zh-CN"/>
        </w:rPr>
        <w:t>、</w:t>
      </w:r>
      <w:r>
        <w:rPr>
          <w:rFonts w:hint="eastAsia"/>
          <w:b w:val="0"/>
          <w:bCs w:val="0"/>
        </w:rPr>
        <w:t>《中华人民共和国行政强制法》</w:t>
      </w:r>
      <w:r>
        <w:rPr>
          <w:rFonts w:hint="eastAsia"/>
          <w:b w:val="0"/>
          <w:bCs w:val="0"/>
          <w:lang w:eastAsia="zh-CN"/>
        </w:rPr>
        <w:t>、</w:t>
      </w:r>
      <w:r>
        <w:rPr>
          <w:rFonts w:hint="eastAsia"/>
          <w:b w:val="0"/>
          <w:bCs w:val="0"/>
        </w:rPr>
        <w:t>《防范和处置非法集资条例》，结合云南省实际，制定</w:t>
      </w:r>
      <w:r>
        <w:rPr>
          <w:rFonts w:hint="eastAsia"/>
        </w:rPr>
        <w:t>本细则。</w:t>
      </w: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eastAsia="方正仿宋简体"/>
          <w:lang w:val="en-US" w:eastAsia="zh-CN"/>
        </w:rPr>
      </w:pPr>
      <w:r>
        <w:rPr>
          <w:rFonts w:hint="eastAsia"/>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pPr>
      <w:r>
        <w:rPr>
          <w:rFonts w:hint="eastAsia" w:ascii="方正黑体简体" w:hAnsi="方正黑体简体" w:eastAsia="方正黑体简体" w:cs="方正黑体简体"/>
        </w:rPr>
        <w:t>第二条【适用范围】</w:t>
      </w:r>
      <w:r>
        <w:rPr>
          <w:rFonts w:hint="eastAsia"/>
        </w:rPr>
        <w:t xml:space="preserve">  </w:t>
      </w:r>
      <w:r>
        <w:rPr>
          <w:rFonts w:hint="eastAsia"/>
          <w:b w:val="0"/>
          <w:bCs w:val="0"/>
        </w:rPr>
        <w:t>云南省行政区域内非法集资的防范以及行政机关对非法集资的处置，适用本细则。</w:t>
      </w:r>
      <w:r>
        <w:rPr>
          <w:rFonts w:hint="eastAsia"/>
        </w:rPr>
        <w:t>法律、行政法规对非法从事银行、证券、保险、外汇等金融业务活动另有规定的，适用其规定。</w:t>
      </w:r>
    </w:p>
    <w:p>
      <w:pPr>
        <w:keepNext w:val="0"/>
        <w:keepLines w:val="0"/>
        <w:pageBreakBefore w:val="0"/>
        <w:widowControl w:val="0"/>
        <w:kinsoku/>
        <w:wordWrap/>
        <w:overflowPunct/>
        <w:topLinePunct w:val="0"/>
        <w:autoSpaceDE/>
        <w:autoSpaceDN/>
        <w:bidi w:val="0"/>
        <w:adjustRightInd/>
        <w:snapToGrid/>
        <w:spacing w:line="580" w:lineRule="exact"/>
        <w:textAlignment w:val="auto"/>
      </w:pP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eastAsia="方正仿宋简体"/>
          <w:lang w:val="en-US" w:eastAsia="zh-CN"/>
        </w:rPr>
      </w:pPr>
      <w:r>
        <w:rPr>
          <w:rFonts w:hint="eastAsia"/>
          <w:lang w:val="en-US" w:eastAsia="zh-CN"/>
        </w:rPr>
        <w:t xml:space="preserve">    </w:t>
      </w:r>
      <w:r>
        <w:rPr>
          <w:rFonts w:hint="eastAsia" w:ascii="方正黑体简体" w:hAnsi="方正黑体简体" w:eastAsia="方正黑体简体" w:cs="方正黑体简体"/>
          <w:lang w:val="en-US" w:eastAsia="zh-CN"/>
        </w:rPr>
        <w:t>第三条【基本原则】</w:t>
      </w:r>
      <w:r>
        <w:rPr>
          <w:rFonts w:hint="eastAsia"/>
          <w:lang w:val="en-US" w:eastAsia="zh-CN"/>
        </w:rPr>
        <w:t xml:space="preserve">  禁止任何形式的非法集资。对非法集资坚持防范为主、打早打小、综合治理、稳妥处置的原则。</w:t>
      </w:r>
    </w:p>
    <w:p>
      <w:pPr>
        <w:keepNext w:val="0"/>
        <w:keepLines w:val="0"/>
        <w:pageBreakBefore w:val="0"/>
        <w:widowControl w:val="0"/>
        <w:kinsoku/>
        <w:wordWrap/>
        <w:overflowPunct/>
        <w:topLinePunct w:val="0"/>
        <w:autoSpaceDE/>
        <w:autoSpaceDN/>
        <w:bidi w:val="0"/>
        <w:adjustRightInd/>
        <w:snapToGrid/>
        <w:spacing w:line="580" w:lineRule="exact"/>
        <w:textAlignment w:val="auto"/>
      </w:pP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hint="eastAsia"/>
        </w:rPr>
      </w:pPr>
      <w:r>
        <w:rPr>
          <w:rFonts w:hint="eastAsia" w:ascii="方正黑体简体" w:hAnsi="方正黑体简体" w:eastAsia="方正黑体简体" w:cs="方正黑体简体"/>
        </w:rPr>
        <w:t>第四条【工作机制】</w:t>
      </w:r>
      <w:r>
        <w:rPr>
          <w:rFonts w:hint="eastAsia"/>
        </w:rPr>
        <w:t xml:space="preserve">  </w:t>
      </w:r>
      <w:r>
        <w:rPr>
          <w:rFonts w:hint="eastAsia"/>
          <w:b w:val="0"/>
          <w:bCs w:val="0"/>
        </w:rPr>
        <w:t>省人民政府对全省防范和处置非法集资工作负总责，建立健全防范和处置非法集资工作机制，制定防范和处置非法集资的政策措施，协调解决防范和处置非法集资工作中的重大问题，督促、指导州（市）人民政府和有关部门做好防范和处置非法集资工作。</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hint="eastAsia"/>
          <w:b w:val="0"/>
          <w:bCs w:val="0"/>
        </w:rPr>
      </w:pPr>
      <w:r>
        <w:rPr>
          <w:rFonts w:hint="eastAsia"/>
          <w:b w:val="0"/>
          <w:bCs w:val="0"/>
        </w:rPr>
        <w:t>州（市）、县（市、区）人民政府</w:t>
      </w:r>
      <w:r>
        <w:rPr>
          <w:rFonts w:hint="eastAsia"/>
          <w:b w:val="0"/>
          <w:bCs w:val="0"/>
          <w:lang w:eastAsia="zh-CN"/>
        </w:rPr>
        <w:t>应当</w:t>
      </w:r>
      <w:r>
        <w:rPr>
          <w:rFonts w:hint="eastAsia"/>
          <w:b w:val="0"/>
          <w:bCs w:val="0"/>
        </w:rPr>
        <w:t>建立健全政府统一领导的防范和处置非法集资工作机制，按照“属地管理、分级负责”的原则，负责本行政区域内防范和处置非法集资工作。</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hint="eastAsia"/>
        </w:rPr>
      </w:pPr>
      <w:r>
        <w:rPr>
          <w:rFonts w:hint="eastAsia"/>
          <w:b w:val="0"/>
          <w:bCs w:val="0"/>
        </w:rPr>
        <w:t>乡镇人民政府、街道办事处应当明确负责防范和处置非法集资工作的牵头负责人和工作人员，并督促、指导村民委员会（居民委员会）做好防范非法集资宣传和线索报告工作。</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hint="eastAsia"/>
        </w:rPr>
      </w:pPr>
      <w:r>
        <w:rPr>
          <w:rFonts w:hint="eastAsia"/>
        </w:rPr>
        <w:t>上级地方人民政府应当督促、指导下级地方人民政府做好本行政区域防范和处置非法集资工作。</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hint="eastAsia"/>
          <w:b w:val="0"/>
          <w:bCs w:val="0"/>
        </w:rPr>
      </w:pPr>
      <w:r>
        <w:rPr>
          <w:rFonts w:hint="eastAsia"/>
          <w:b w:val="0"/>
          <w:bCs w:val="0"/>
        </w:rPr>
        <w:t>各行业主管部门、监管部门按照职责分工，负责本行业、领域非法集资的防范和配合处置工作。其他有关部门根据工作需要以及职责分工，承担防范和处置非法集资工作相关任务。</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hint="eastAsia"/>
        </w:rPr>
      </w:pPr>
      <w:r>
        <w:rPr>
          <w:rFonts w:hint="eastAsia"/>
          <w:b w:val="0"/>
          <w:bCs w:val="0"/>
        </w:rPr>
        <w:t>国务院金融管理部门驻滇分支机构、派出机构按职责分工和属地原则参与各级防范和处置非法集资工作机制。</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hint="eastAsia"/>
        </w:rPr>
      </w:pP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hint="eastAsia"/>
        </w:rPr>
      </w:pPr>
      <w:r>
        <w:rPr>
          <w:rFonts w:hint="eastAsia" w:ascii="方正黑体简体" w:hAnsi="方正黑体简体" w:eastAsia="方正黑体简体" w:cs="方正黑体简体"/>
        </w:rPr>
        <w:t>第五条【牵头部门】</w:t>
      </w:r>
      <w:r>
        <w:rPr>
          <w:rFonts w:hint="eastAsia"/>
        </w:rPr>
        <w:t xml:space="preserve">  县级以上地方人民政府应当明确防范和处置非法集资工作机制的牵头部门（以下简称处置非法集资牵头部门）。</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hint="eastAsia"/>
          <w:b w:val="0"/>
          <w:bCs w:val="0"/>
        </w:rPr>
      </w:pPr>
      <w:r>
        <w:rPr>
          <w:rFonts w:hint="eastAsia"/>
          <w:b w:val="0"/>
          <w:bCs w:val="0"/>
        </w:rPr>
        <w:t>省级处置非法集资牵头部门为云南省地方金融监督管理局。州（市）、县（市、区）人民政府应当明确本级处置非法集资牵头部门，并向社会公告。原则上处置非法集资牵头部门应是具备独立行政执法职能的机关。</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hint="eastAsia" w:eastAsia="方正仿宋简体"/>
          <w:b w:val="0"/>
          <w:bCs w:val="0"/>
          <w:lang w:eastAsia="zh-CN"/>
        </w:rPr>
      </w:pPr>
      <w:r>
        <w:rPr>
          <w:rFonts w:hint="eastAsia"/>
          <w:b w:val="0"/>
          <w:bCs w:val="0"/>
        </w:rPr>
        <w:t>处置非法集资牵头部门暂不具备行政</w:t>
      </w:r>
      <w:r>
        <w:rPr>
          <w:rFonts w:hint="eastAsia"/>
          <w:b w:val="0"/>
          <w:bCs w:val="0"/>
          <w:lang w:eastAsia="zh-CN"/>
        </w:rPr>
        <w:t>处罚</w:t>
      </w:r>
      <w:r>
        <w:rPr>
          <w:rFonts w:hint="eastAsia"/>
          <w:b w:val="0"/>
          <w:bCs w:val="0"/>
        </w:rPr>
        <w:t>执法条件的，依照法律、法规、规章的规定</w:t>
      </w:r>
      <w:r>
        <w:rPr>
          <w:rFonts w:hint="eastAsia"/>
          <w:b w:val="0"/>
          <w:bCs w:val="0"/>
          <w:lang w:eastAsia="zh-CN"/>
        </w:rPr>
        <w:t>，</w:t>
      </w:r>
      <w:r>
        <w:rPr>
          <w:rFonts w:hint="eastAsia"/>
          <w:b w:val="0"/>
          <w:bCs w:val="0"/>
        </w:rPr>
        <w:t>可以在法定权限内书面委托符合《中华人民共和国行政处罚法》规定条件的组织实施行政处罚</w:t>
      </w:r>
      <w:r>
        <w:rPr>
          <w:rFonts w:hint="eastAsia"/>
          <w:b w:val="0"/>
          <w:bCs w:val="0"/>
          <w:lang w:eastAsia="zh-CN"/>
        </w:rPr>
        <w:t>。</w:t>
      </w:r>
      <w:r>
        <w:rPr>
          <w:rFonts w:hint="eastAsia"/>
          <w:b w:val="0"/>
          <w:bCs w:val="0"/>
        </w:rPr>
        <w:t>开展委托执法的，处置非法集资牵头部门和受委托组织应当将委托</w:t>
      </w:r>
      <w:r>
        <w:rPr>
          <w:rFonts w:hint="eastAsia"/>
          <w:b w:val="0"/>
          <w:bCs w:val="0"/>
          <w:lang w:eastAsia="zh-CN"/>
        </w:rPr>
        <w:t>书</w:t>
      </w:r>
      <w:r>
        <w:rPr>
          <w:rFonts w:hint="eastAsia"/>
          <w:b w:val="0"/>
          <w:bCs w:val="0"/>
        </w:rPr>
        <w:t>向社会公告。在依法合规的前提下，支持探索采取联合执法、综合执法等执法方式落实执法职能。</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hint="eastAsia"/>
          <w:b/>
          <w:bCs/>
        </w:rPr>
      </w:pPr>
      <w:r>
        <w:rPr>
          <w:rFonts w:hint="eastAsia"/>
          <w:b w:val="0"/>
          <w:bCs w:val="0"/>
        </w:rPr>
        <w:t>全省各级处置非法集资牵头部门在本级人民政府的领导下开展工作，并接受上级处置非法集资牵头部门的业务指导和监督。</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hint="eastAsia"/>
        </w:rPr>
      </w:pP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hint="eastAsia"/>
        </w:rPr>
      </w:pPr>
      <w:r>
        <w:rPr>
          <w:rFonts w:hint="eastAsia" w:ascii="方正黑体简体" w:hAnsi="方正黑体简体" w:eastAsia="方正黑体简体" w:cs="方正黑体简体"/>
        </w:rPr>
        <w:t>第六条【经费人员保障】</w:t>
      </w:r>
      <w:r>
        <w:rPr>
          <w:rFonts w:hint="eastAsia"/>
        </w:rPr>
        <w:t xml:space="preserve">  </w:t>
      </w:r>
      <w:r>
        <w:rPr>
          <w:rFonts w:hint="eastAsia"/>
          <w:b w:val="0"/>
          <w:bCs w:val="0"/>
        </w:rPr>
        <w:t>全省</w:t>
      </w:r>
      <w:r>
        <w:rPr>
          <w:rFonts w:hint="eastAsia"/>
        </w:rPr>
        <w:t>各级人民政府应当合理保障防范和处置非法集资工作相关经费，并列入本级预算。</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hint="eastAsia"/>
        </w:rPr>
      </w:pPr>
      <w:r>
        <w:rPr>
          <w:rFonts w:hint="eastAsia"/>
          <w:b w:val="0"/>
          <w:bCs w:val="0"/>
        </w:rPr>
        <w:t>各级处置非法集资牵头部门应当明确相应执法人员，落实执法设备、执法车辆等保障，建立健全行政执法制度，强化对行政执法人员的培训、考核。执法人员应当在取得行政执法</w:t>
      </w:r>
      <w:r>
        <w:rPr>
          <w:rFonts w:hint="eastAsia"/>
          <w:b w:val="0"/>
          <w:bCs w:val="0"/>
          <w:lang w:eastAsia="zh-CN"/>
        </w:rPr>
        <w:t>资格</w:t>
      </w:r>
      <w:r>
        <w:rPr>
          <w:rFonts w:hint="eastAsia"/>
          <w:b w:val="0"/>
          <w:bCs w:val="0"/>
        </w:rPr>
        <w:t>后上岗。</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hint="eastAsia"/>
        </w:rPr>
      </w:pP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rPr>
      </w:pPr>
      <w:r>
        <w:rPr>
          <w:rFonts w:hint="eastAsia" w:ascii="方正黑体简体" w:hAnsi="方正黑体简体" w:eastAsia="方正黑体简体" w:cs="方正黑体简体"/>
        </w:rPr>
        <w:t>第二章  防  范</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hint="eastAsia"/>
        </w:rPr>
      </w:pPr>
      <w:r>
        <w:rPr>
          <w:rFonts w:hint="eastAsia" w:ascii="方正黑体简体" w:hAnsi="方正黑体简体" w:eastAsia="方正黑体简体" w:cs="方正黑体简体"/>
        </w:rPr>
        <w:t>第七条【监测预警】</w:t>
      </w:r>
      <w:r>
        <w:rPr>
          <w:rFonts w:hint="eastAsia"/>
        </w:rPr>
        <w:t xml:space="preserve">  </w:t>
      </w:r>
      <w:r>
        <w:rPr>
          <w:rFonts w:hint="eastAsia"/>
          <w:b w:val="0"/>
          <w:bCs w:val="0"/>
        </w:rPr>
        <w:t>全省</w:t>
      </w:r>
      <w:r>
        <w:rPr>
          <w:rFonts w:hint="eastAsia"/>
        </w:rPr>
        <w:t>各级人民政府应当建立非法集资监测预警机制，纳入社会治安综合治理体系，充分发挥网格化管理和基层群众自治组织的作用，运用大数据等现代信息技术手段，加强对非法集资的监测预警。</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hint="eastAsia"/>
          <w:b w:val="0"/>
          <w:bCs w:val="0"/>
        </w:rPr>
      </w:pPr>
      <w:r>
        <w:rPr>
          <w:rFonts w:hint="eastAsia"/>
          <w:b w:val="0"/>
          <w:bCs w:val="0"/>
        </w:rPr>
        <w:t>省级处置非法集资牵头部门负责建设云南省非法集资监测预警平台，促进部门之间、区域之间信息共享，加强非法集资风险研判，及时预警提示风险。州（市）、县（市、区）处置非法集资牵头部门运用</w:t>
      </w:r>
      <w:r>
        <w:rPr>
          <w:rFonts w:hint="eastAsia"/>
          <w:b w:val="0"/>
          <w:bCs w:val="0"/>
          <w:lang w:eastAsia="zh-CN"/>
        </w:rPr>
        <w:t>云南</w:t>
      </w:r>
      <w:r>
        <w:rPr>
          <w:rFonts w:hint="eastAsia"/>
          <w:b w:val="0"/>
          <w:bCs w:val="0"/>
        </w:rPr>
        <w:t>省非法集资监测预警平台，加强信息共享和互联互通。</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hint="eastAsia"/>
          <w:b w:val="0"/>
          <w:bCs w:val="0"/>
        </w:rPr>
      </w:pPr>
      <w:r>
        <w:rPr>
          <w:rFonts w:hint="eastAsia"/>
          <w:b w:val="0"/>
          <w:bCs w:val="0"/>
        </w:rPr>
        <w:t>县（市、区）人民政府负责组织乡镇人民政府（街道办事处）和有关部门采取日常监管、技术监测、专项排查、线索核实等方式，加强对非法集资的监测预警，并及时上报涉嫌非法集资相关信息。</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hint="eastAsia"/>
        </w:rPr>
      </w:pPr>
      <w:r>
        <w:rPr>
          <w:rFonts w:hint="eastAsia"/>
          <w:b w:val="0"/>
          <w:bCs w:val="0"/>
        </w:rPr>
        <w:t>乡镇人民政府（街道办事处）负责组织村民委员会（居民委员会）等基层群众自治组织</w:t>
      </w:r>
      <w:r>
        <w:rPr>
          <w:rFonts w:hint="eastAsia"/>
          <w:b w:val="0"/>
          <w:bCs w:val="0"/>
          <w:lang w:eastAsia="zh-CN"/>
        </w:rPr>
        <w:t>开展</w:t>
      </w:r>
      <w:r>
        <w:rPr>
          <w:rFonts w:hint="eastAsia"/>
          <w:b w:val="0"/>
          <w:bCs w:val="0"/>
        </w:rPr>
        <w:t>网格巡查、楼宇管理等，并及时上报涉嫌非法集资相关信息。</w:t>
      </w: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rPr>
      </w:pP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hint="eastAsia"/>
        </w:rPr>
      </w:pPr>
      <w:r>
        <w:rPr>
          <w:rFonts w:hint="eastAsia" w:ascii="方正黑体简体" w:hAnsi="方正黑体简体" w:eastAsia="方正黑体简体" w:cs="方正黑体简体"/>
        </w:rPr>
        <w:t>第八条【</w:t>
      </w:r>
      <w:r>
        <w:rPr>
          <w:rFonts w:hint="eastAsia" w:ascii="方正黑体简体" w:hAnsi="方正黑体简体" w:eastAsia="方正黑体简体" w:cs="方正黑体简体"/>
          <w:lang w:eastAsia="zh-CN"/>
        </w:rPr>
        <w:t>行业</w:t>
      </w:r>
      <w:r>
        <w:rPr>
          <w:rFonts w:hint="eastAsia" w:ascii="方正黑体简体" w:hAnsi="方正黑体简体" w:eastAsia="方正黑体简体" w:cs="方正黑体简体"/>
        </w:rPr>
        <w:t>风险排查】</w:t>
      </w:r>
      <w:r>
        <w:rPr>
          <w:rFonts w:hint="eastAsia"/>
        </w:rPr>
        <w:t xml:space="preserve">  </w:t>
      </w:r>
      <w:r>
        <w:rPr>
          <w:rFonts w:hint="eastAsia"/>
          <w:b w:val="0"/>
          <w:bCs w:val="0"/>
        </w:rPr>
        <w:t>各行业主管部门、监管部门应当强化日常监督管理，全面做好本行业、领域的非法集资风险排查和监测预警工作。发现涉嫌非法集资活动线索的，应当做好工作记录，收集和保全相关证据，</w:t>
      </w:r>
      <w:r>
        <w:rPr>
          <w:rFonts w:hint="eastAsia"/>
          <w:b w:val="0"/>
          <w:bCs w:val="0"/>
          <w:lang w:eastAsia="zh-CN"/>
        </w:rPr>
        <w:t>开展</w:t>
      </w:r>
      <w:r>
        <w:rPr>
          <w:rFonts w:hint="eastAsia"/>
          <w:b w:val="0"/>
          <w:bCs w:val="0"/>
        </w:rPr>
        <w:t>早期风险化解，及时报送相关情况并配合处置非法集资牵头部门依法进行调查处置。</w:t>
      </w: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rPr>
      </w:pP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hint="eastAsia"/>
        </w:rPr>
      </w:pPr>
      <w:r>
        <w:rPr>
          <w:rFonts w:hint="eastAsia" w:ascii="方正黑体简体" w:hAnsi="方正黑体简体" w:eastAsia="方正黑体简体" w:cs="方正黑体简体"/>
        </w:rPr>
        <w:t>第九条【市场主体登记管理】</w:t>
      </w:r>
      <w:r>
        <w:rPr>
          <w:rFonts w:hint="eastAsia"/>
        </w:rPr>
        <w:t xml:space="preserve">  市场监督管理部门应当加强企业、个体工商户名称和经营范围等登记管理。除法律、行政法规和国家另有规定外，企业、个体工商户名称和经营范围中不得包含“金融”、“交易所”、“交易中心”、“理财”、“财富管理”、“股权众筹”等字样或者内容。</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hint="eastAsia"/>
        </w:rPr>
      </w:pPr>
      <w:r>
        <w:rPr>
          <w:rFonts w:hint="eastAsia"/>
        </w:rPr>
        <w:t>县级以上处置非法集资牵头部门、市场监督管理部门等有关部门应当建立定期会商机制，发现企业、个体工商户名称或者经营范围中</w:t>
      </w:r>
      <w:r>
        <w:rPr>
          <w:rFonts w:hint="eastAsia"/>
          <w:b w:val="0"/>
          <w:bCs w:val="0"/>
        </w:rPr>
        <w:t>包含前款规定字样或者内容，以及其他与集资有关的字样或者内容的，应当及时予以重点关注，必要时可依法依规要求其进行变更登记。</w:t>
      </w: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rPr>
      </w:pP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hint="eastAsia"/>
        </w:rPr>
      </w:pPr>
      <w:r>
        <w:rPr>
          <w:rFonts w:hint="eastAsia" w:ascii="方正黑体简体" w:hAnsi="方正黑体简体" w:eastAsia="方正黑体简体" w:cs="方正黑体简体"/>
        </w:rPr>
        <w:t>第十条【互联网信息监测管理】</w:t>
      </w:r>
      <w:r>
        <w:rPr>
          <w:rFonts w:hint="eastAsia"/>
        </w:rPr>
        <w:t xml:space="preserve">  处置非法集资牵头部门会同互联网信息内容管理部门、电信主管部门加强对涉嫌非法集资的互联网信息和网站、移动应用程序等互联网应用的监测。经处置非法集资牵头部门组织认定为用于非法集资的，互联网信息内容管理部门、电信主管部门应当及时依法作出处理。</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pPr>
      <w:r>
        <w:rPr>
          <w:rFonts w:hint="eastAsia"/>
          <w:b w:val="0"/>
          <w:bCs w:val="0"/>
        </w:rPr>
        <w:t>互联网信息内容管理部门、电信主管部门应当督促指导</w:t>
      </w:r>
      <w:r>
        <w:rPr>
          <w:rFonts w:hint="eastAsia"/>
        </w:rPr>
        <w:t>互联网信息服务提供者和移动应用服务提供者加强对用户发布信息的管理，不得制作、复制、发布、传播涉嫌非法集资的信息。发现涉嫌非法集资的信息，应当保存有关记录，并及时向处置非法集资牵头部门报告。</w:t>
      </w:r>
    </w:p>
    <w:p>
      <w:pPr>
        <w:keepNext w:val="0"/>
        <w:keepLines w:val="0"/>
        <w:pageBreakBefore w:val="0"/>
        <w:widowControl w:val="0"/>
        <w:kinsoku/>
        <w:wordWrap/>
        <w:overflowPunct/>
        <w:topLinePunct w:val="0"/>
        <w:autoSpaceDE/>
        <w:autoSpaceDN/>
        <w:bidi w:val="0"/>
        <w:adjustRightInd/>
        <w:snapToGrid/>
        <w:spacing w:line="580" w:lineRule="exact"/>
        <w:textAlignment w:val="auto"/>
      </w:pP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hint="eastAsia"/>
        </w:rPr>
      </w:pPr>
      <w:r>
        <w:rPr>
          <w:rFonts w:hint="eastAsia" w:ascii="方正黑体简体" w:hAnsi="方正黑体简体" w:eastAsia="方正黑体简体" w:cs="方正黑体简体"/>
        </w:rPr>
        <w:t>第十一条【广告发布监测</w:t>
      </w:r>
      <w:r>
        <w:rPr>
          <w:rFonts w:hint="eastAsia" w:ascii="方正黑体简体" w:hAnsi="方正黑体简体" w:eastAsia="方正黑体简体" w:cs="方正黑体简体"/>
          <w:lang w:eastAsia="zh-CN"/>
        </w:rPr>
        <w:t>和管理</w:t>
      </w:r>
      <w:r>
        <w:rPr>
          <w:rFonts w:hint="eastAsia" w:ascii="方正黑体简体" w:hAnsi="方正黑体简体" w:eastAsia="方正黑体简体" w:cs="方正黑体简体"/>
        </w:rPr>
        <w:t>】</w:t>
      </w:r>
      <w:r>
        <w:rPr>
          <w:rFonts w:hint="eastAsia"/>
        </w:rPr>
        <w:t xml:space="preserve">  除国家另有规定外，任何单位和个人不得发布包含集资内容的广告或者以其他方式向社会公众进行集资宣传。</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b w:val="0"/>
          <w:bCs w:val="0"/>
        </w:rPr>
      </w:pPr>
      <w:r>
        <w:rPr>
          <w:rFonts w:hint="eastAsia"/>
          <w:b w:val="0"/>
          <w:bCs w:val="0"/>
        </w:rPr>
        <w:t>县级以上市场监督管理部门会同处置非法集资牵头部门加强对涉嫌非法集资广告的监测。经处置非法集资牵头部门认定为非法集资的，市场监督管理部门应当及时依法查处相关非法集资广告。</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pPr>
      <w:r>
        <w:rPr>
          <w:rFonts w:hint="eastAsia"/>
          <w:b w:val="0"/>
          <w:bCs w:val="0"/>
        </w:rPr>
        <w:t>市场</w:t>
      </w:r>
      <w:r>
        <w:rPr>
          <w:rFonts w:hint="eastAsia"/>
          <w:b w:val="0"/>
          <w:bCs w:val="0"/>
          <w:lang w:eastAsia="zh-CN"/>
        </w:rPr>
        <w:t>监督管理</w:t>
      </w:r>
      <w:r>
        <w:rPr>
          <w:rFonts w:hint="eastAsia"/>
          <w:b w:val="0"/>
          <w:bCs w:val="0"/>
        </w:rPr>
        <w:t>部门应当督促指导</w:t>
      </w:r>
      <w:r>
        <w:rPr>
          <w:rFonts w:hint="eastAsia"/>
        </w:rPr>
        <w:t>广告经营者、广告发布者依照法律、行政法规查验相关证明文件，核对广告内容。对没有相关证明文件且包含集资内容的广告，广告经营者不得提供设计、制作、代理服务，广告发布者不得发布。</w:t>
      </w:r>
    </w:p>
    <w:p>
      <w:pPr>
        <w:keepNext w:val="0"/>
        <w:keepLines w:val="0"/>
        <w:pageBreakBefore w:val="0"/>
        <w:widowControl w:val="0"/>
        <w:kinsoku/>
        <w:wordWrap/>
        <w:overflowPunct/>
        <w:topLinePunct w:val="0"/>
        <w:autoSpaceDE/>
        <w:autoSpaceDN/>
        <w:bidi w:val="0"/>
        <w:adjustRightInd/>
        <w:snapToGrid/>
        <w:spacing w:line="580" w:lineRule="exact"/>
        <w:textAlignment w:val="auto"/>
      </w:pP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hint="eastAsia"/>
        </w:rPr>
      </w:pPr>
      <w:r>
        <w:rPr>
          <w:rFonts w:hint="eastAsia" w:ascii="方正黑体简体" w:hAnsi="方正黑体简体" w:eastAsia="方正黑体简体" w:cs="方正黑体简体"/>
        </w:rPr>
        <w:t>第十二条【资金监测】</w:t>
      </w:r>
      <w:r>
        <w:rPr>
          <w:rFonts w:hint="eastAsia"/>
        </w:rPr>
        <w:t xml:space="preserve">  </w:t>
      </w:r>
      <w:r>
        <w:rPr>
          <w:rFonts w:hint="eastAsia"/>
          <w:b w:val="0"/>
          <w:bCs w:val="0"/>
        </w:rPr>
        <w:t>各级处置非法集资牵头部门与国务院金融管理部门驻滇分</w:t>
      </w:r>
      <w:r>
        <w:rPr>
          <w:rFonts w:hint="eastAsia"/>
        </w:rPr>
        <w:t>支机构、派出机构应当建立非法集资可疑资金监测机制。</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pPr>
      <w:r>
        <w:rPr>
          <w:rFonts w:hint="eastAsia"/>
        </w:rPr>
        <w:t>国务院金融管理部门</w:t>
      </w:r>
      <w:r>
        <w:rPr>
          <w:rFonts w:hint="eastAsia"/>
          <w:b w:val="0"/>
          <w:bCs w:val="0"/>
        </w:rPr>
        <w:t>驻滇分支机构、派出机构应当按照职责分工督促、指导金融机构、非银行支付机构加强对资金异常流动情况及其他涉嫌非法集资可疑资金的监测工作，并及时向处置非法集资牵头部门通报相关情况。</w:t>
      </w:r>
    </w:p>
    <w:p>
      <w:pPr>
        <w:keepNext w:val="0"/>
        <w:keepLines w:val="0"/>
        <w:pageBreakBefore w:val="0"/>
        <w:widowControl w:val="0"/>
        <w:kinsoku/>
        <w:wordWrap/>
        <w:overflowPunct/>
        <w:topLinePunct w:val="0"/>
        <w:autoSpaceDE/>
        <w:autoSpaceDN/>
        <w:bidi w:val="0"/>
        <w:adjustRightInd/>
        <w:snapToGrid/>
        <w:spacing w:line="580" w:lineRule="exact"/>
        <w:textAlignment w:val="auto"/>
      </w:pP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b w:val="0"/>
          <w:bCs w:val="0"/>
        </w:rPr>
      </w:pPr>
      <w:r>
        <w:rPr>
          <w:rFonts w:hint="eastAsia" w:ascii="方正黑体简体" w:hAnsi="方正黑体简体" w:eastAsia="方正黑体简体" w:cs="方正黑体简体"/>
        </w:rPr>
        <w:t>第十三条【金融机构、非银行支付机构</w:t>
      </w:r>
      <w:r>
        <w:rPr>
          <w:rFonts w:hint="eastAsia" w:ascii="方正黑体简体" w:hAnsi="方正黑体简体" w:eastAsia="方正黑体简体" w:cs="方正黑体简体"/>
          <w:lang w:eastAsia="zh-CN"/>
        </w:rPr>
        <w:t>履行</w:t>
      </w:r>
      <w:r>
        <w:rPr>
          <w:rFonts w:hint="eastAsia" w:ascii="方正黑体简体" w:hAnsi="方正黑体简体" w:eastAsia="方正黑体简体" w:cs="方正黑体简体"/>
        </w:rPr>
        <w:t>义务】</w:t>
      </w:r>
      <w:r>
        <w:rPr>
          <w:rFonts w:hint="eastAsia"/>
        </w:rPr>
        <w:t xml:space="preserve">  </w:t>
      </w:r>
      <w:r>
        <w:rPr>
          <w:rFonts w:hint="eastAsia"/>
          <w:b w:val="0"/>
          <w:bCs w:val="0"/>
        </w:rPr>
        <w:t>国务院金融管理部门驻滇分支机构、派出机构应当督促指导金融机构、非银行支付机构按照《防范和处置非法集资条例》第十三条规定履行防范非法集资的义务。</w:t>
      </w:r>
    </w:p>
    <w:p>
      <w:pPr>
        <w:keepNext w:val="0"/>
        <w:keepLines w:val="0"/>
        <w:pageBreakBefore w:val="0"/>
        <w:widowControl w:val="0"/>
        <w:kinsoku/>
        <w:wordWrap/>
        <w:overflowPunct/>
        <w:topLinePunct w:val="0"/>
        <w:autoSpaceDE/>
        <w:autoSpaceDN/>
        <w:bidi w:val="0"/>
        <w:adjustRightInd/>
        <w:snapToGrid/>
        <w:spacing w:line="580" w:lineRule="exact"/>
        <w:textAlignment w:val="auto"/>
      </w:pP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pPr>
      <w:r>
        <w:rPr>
          <w:rFonts w:hint="eastAsia" w:ascii="方正黑体简体" w:hAnsi="方正黑体简体" w:eastAsia="方正黑体简体" w:cs="方正黑体简体"/>
        </w:rPr>
        <w:t>第十四条【行业自律】</w:t>
      </w:r>
      <w:r>
        <w:rPr>
          <w:rFonts w:hint="eastAsia"/>
        </w:rPr>
        <w:t xml:space="preserve">  </w:t>
      </w:r>
      <w:r>
        <w:rPr>
          <w:rFonts w:hint="eastAsia"/>
          <w:b w:val="0"/>
          <w:bCs w:val="0"/>
        </w:rPr>
        <w:t>行业协会、商会的主管部门</w:t>
      </w:r>
      <w:r>
        <w:rPr>
          <w:rFonts w:hint="eastAsia"/>
          <w:b w:val="0"/>
          <w:bCs w:val="0"/>
          <w:lang w:eastAsia="zh-CN"/>
        </w:rPr>
        <w:t>应当</w:t>
      </w:r>
      <w:r>
        <w:rPr>
          <w:rFonts w:hint="eastAsia"/>
          <w:b w:val="0"/>
          <w:bCs w:val="0"/>
        </w:rPr>
        <w:t>督促指导行业协会、商会加强行业自律管理、自我约束，督促、引导成员积极防范非法集资，不组织、不协助、不参与非法集资。行业协会、商会如发现涉嫌非法集资的风险线索，应当及时报告主管部门和处置非法集资牵头部门。</w:t>
      </w:r>
    </w:p>
    <w:p>
      <w:pPr>
        <w:keepNext w:val="0"/>
        <w:keepLines w:val="0"/>
        <w:pageBreakBefore w:val="0"/>
        <w:widowControl w:val="0"/>
        <w:kinsoku/>
        <w:wordWrap/>
        <w:overflowPunct/>
        <w:topLinePunct w:val="0"/>
        <w:autoSpaceDE/>
        <w:autoSpaceDN/>
        <w:bidi w:val="0"/>
        <w:adjustRightInd/>
        <w:snapToGrid/>
        <w:spacing w:line="580" w:lineRule="exact"/>
        <w:textAlignment w:val="auto"/>
      </w:pP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hint="eastAsia"/>
          <w:b w:val="0"/>
          <w:bCs w:val="0"/>
        </w:rPr>
      </w:pPr>
      <w:r>
        <w:rPr>
          <w:rFonts w:hint="eastAsia" w:ascii="方正黑体简体" w:hAnsi="方正黑体简体" w:eastAsia="方正黑体简体" w:cs="方正黑体简体"/>
        </w:rPr>
        <w:t>第十五条【宣传教育】</w:t>
      </w:r>
      <w:r>
        <w:rPr>
          <w:rFonts w:hint="eastAsia"/>
        </w:rPr>
        <w:t xml:space="preserve">  </w:t>
      </w:r>
      <w:r>
        <w:rPr>
          <w:rFonts w:hint="eastAsia"/>
          <w:b w:val="0"/>
          <w:bCs w:val="0"/>
        </w:rPr>
        <w:t>全省各级人民政府建立上下联动的防范非法集资宣传教育工作机制，推动防范非法集资宣传教育工作，引导社会公众自觉抵制、主动远离非法集资。</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hint="eastAsia"/>
        </w:rPr>
      </w:pPr>
      <w:r>
        <w:rPr>
          <w:rFonts w:hint="eastAsia"/>
          <w:b w:val="0"/>
          <w:bCs w:val="0"/>
        </w:rPr>
        <w:t>州（市）、县（市、区）人民政府应当统筹做好本行政区域防范非法集资宣传教育工作，组织开展常态化的防范非法集资宣传教育，</w:t>
      </w:r>
      <w:r>
        <w:rPr>
          <w:rFonts w:hint="eastAsia"/>
        </w:rPr>
        <w:t>充分运用各类媒介或者载体，以法律政策解读、典型案例剖析、投资风险教育等方式，向社会公众宣传非法集资的违法性、危害性及其表现形式等，增强社会公众对非法集资的防范意识和识别能力。</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hint="eastAsia"/>
        </w:rPr>
      </w:pPr>
      <w:r>
        <w:rPr>
          <w:rFonts w:hint="eastAsia"/>
        </w:rPr>
        <w:t>行业主管部门、监管部门以及行业协会、商会应当根据本行业、领域非法集资风险特点，有针对性地开展防范非法集资宣传教育活动。</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pPr>
      <w:r>
        <w:rPr>
          <w:rFonts w:hint="eastAsia"/>
          <w:b w:val="0"/>
          <w:bCs w:val="0"/>
        </w:rPr>
        <w:t>各级处置非法集资牵头部门应当会同宣传部门督促指导</w:t>
      </w:r>
      <w:r>
        <w:rPr>
          <w:rFonts w:hint="eastAsia"/>
        </w:rPr>
        <w:t>新闻媒体开展防范非法集资公益宣传，并依法对非法集资进行舆论监督。</w:t>
      </w:r>
    </w:p>
    <w:p>
      <w:pPr>
        <w:keepNext w:val="0"/>
        <w:keepLines w:val="0"/>
        <w:pageBreakBefore w:val="0"/>
        <w:widowControl w:val="0"/>
        <w:kinsoku/>
        <w:wordWrap/>
        <w:overflowPunct/>
        <w:topLinePunct w:val="0"/>
        <w:autoSpaceDE/>
        <w:autoSpaceDN/>
        <w:bidi w:val="0"/>
        <w:adjustRightInd/>
        <w:snapToGrid/>
        <w:spacing w:line="580" w:lineRule="exact"/>
        <w:textAlignment w:val="auto"/>
      </w:pP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hint="eastAsia"/>
        </w:rPr>
      </w:pPr>
      <w:r>
        <w:rPr>
          <w:rFonts w:hint="eastAsia" w:ascii="方正黑体简体" w:hAnsi="方正黑体简体" w:eastAsia="方正黑体简体" w:cs="方正黑体简体"/>
        </w:rPr>
        <w:t>第十六条【举报奖励】</w:t>
      </w:r>
      <w:r>
        <w:rPr>
          <w:rFonts w:hint="eastAsia"/>
        </w:rPr>
        <w:t xml:space="preserve">  对涉嫌非法集资行为，任何单位和个人有权向处置非法集资牵头部门或者其他有关部门举报。</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hint="eastAsia"/>
          <w:b w:val="0"/>
          <w:bCs w:val="0"/>
        </w:rPr>
      </w:pPr>
      <w:r>
        <w:rPr>
          <w:rFonts w:hint="eastAsia"/>
        </w:rPr>
        <w:t>鼓励对涉嫌非法集资行为进行举报。</w:t>
      </w:r>
      <w:r>
        <w:rPr>
          <w:rFonts w:hint="eastAsia"/>
          <w:b w:val="0"/>
          <w:bCs w:val="0"/>
        </w:rPr>
        <w:t>各级处置非法集资牵头部门以及其他有关部门应当公开举报电话和邮箱</w:t>
      </w:r>
      <w:r>
        <w:rPr>
          <w:rFonts w:hint="eastAsia"/>
          <w:b w:val="0"/>
          <w:bCs w:val="0"/>
          <w:lang w:eastAsia="zh-CN"/>
        </w:rPr>
        <w:t>等举报方式</w:t>
      </w:r>
      <w:r>
        <w:rPr>
          <w:rFonts w:hint="eastAsia"/>
          <w:b w:val="0"/>
          <w:bCs w:val="0"/>
        </w:rPr>
        <w:t>，在政府网站设置举报专栏，接受举报，及时依法处理，并为举报人保密。</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b w:val="0"/>
          <w:bCs w:val="0"/>
        </w:rPr>
      </w:pPr>
      <w:r>
        <w:rPr>
          <w:rFonts w:hint="eastAsia"/>
          <w:b w:val="0"/>
          <w:bCs w:val="0"/>
        </w:rPr>
        <w:t>各级处置非法集资牵头部门负责制定完善非法集资举报奖励办法，明确举报奖励标准，完善举报工作机制，对符合条件的举报人予以奖励。</w:t>
      </w:r>
    </w:p>
    <w:p>
      <w:pPr>
        <w:keepNext w:val="0"/>
        <w:keepLines w:val="0"/>
        <w:pageBreakBefore w:val="0"/>
        <w:widowControl w:val="0"/>
        <w:kinsoku/>
        <w:wordWrap/>
        <w:overflowPunct/>
        <w:topLinePunct w:val="0"/>
        <w:autoSpaceDE/>
        <w:autoSpaceDN/>
        <w:bidi w:val="0"/>
        <w:adjustRightInd/>
        <w:snapToGrid/>
        <w:spacing w:line="580" w:lineRule="exact"/>
        <w:textAlignment w:val="auto"/>
      </w:pP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pPr>
      <w:r>
        <w:rPr>
          <w:rFonts w:hint="eastAsia" w:ascii="方正黑体简体" w:hAnsi="方正黑体简体" w:eastAsia="方正黑体简体" w:cs="方正黑体简体"/>
        </w:rPr>
        <w:t>第十七条【基层报告】</w:t>
      </w:r>
      <w:r>
        <w:rPr>
          <w:rFonts w:hint="eastAsia"/>
        </w:rPr>
        <w:t xml:space="preserve">  居民委员会、村民委员会发现所在区域有涉嫌非法集资行为的，应当及时向当地人民政府、处置非法集资牵头部门或者其他有关部门报告。</w:t>
      </w:r>
    </w:p>
    <w:p>
      <w:pPr>
        <w:keepNext w:val="0"/>
        <w:keepLines w:val="0"/>
        <w:pageBreakBefore w:val="0"/>
        <w:widowControl w:val="0"/>
        <w:kinsoku/>
        <w:wordWrap/>
        <w:overflowPunct/>
        <w:topLinePunct w:val="0"/>
        <w:autoSpaceDE/>
        <w:autoSpaceDN/>
        <w:bidi w:val="0"/>
        <w:adjustRightInd/>
        <w:snapToGrid/>
        <w:spacing w:line="580" w:lineRule="exact"/>
        <w:textAlignment w:val="auto"/>
      </w:pP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pPr>
      <w:r>
        <w:rPr>
          <w:rFonts w:hint="eastAsia" w:ascii="方正黑体简体" w:hAnsi="方正黑体简体" w:eastAsia="方正黑体简体" w:cs="方正黑体简体"/>
        </w:rPr>
        <w:t>第十八条【警示约谈】</w:t>
      </w:r>
      <w:r>
        <w:rPr>
          <w:rFonts w:hint="eastAsia"/>
        </w:rPr>
        <w:t xml:space="preserve">  处置非法集资牵头部门和行业主管部门、监管部门发现本行政区域或者本行业、领域可能存在非法集资风险的，有权对相关单位和个人进行警示约谈，责令整改。</w:t>
      </w:r>
      <w:r>
        <w:rPr>
          <w:rFonts w:hint="eastAsia"/>
          <w:b w:val="0"/>
          <w:bCs w:val="0"/>
        </w:rPr>
        <w:t>警示约谈可由相关部门独立或者联合开展。行业主管部门、监管部门独立约谈情况及督促整改情况应当及时通报同级处置非法集资牵头部门。</w:t>
      </w:r>
    </w:p>
    <w:p>
      <w:pPr>
        <w:keepNext w:val="0"/>
        <w:keepLines w:val="0"/>
        <w:pageBreakBefore w:val="0"/>
        <w:widowControl w:val="0"/>
        <w:kinsoku/>
        <w:wordWrap/>
        <w:overflowPunct/>
        <w:topLinePunct w:val="0"/>
        <w:autoSpaceDE/>
        <w:autoSpaceDN/>
        <w:bidi w:val="0"/>
        <w:adjustRightInd/>
        <w:snapToGrid/>
        <w:spacing w:line="580" w:lineRule="exact"/>
        <w:textAlignment w:val="auto"/>
      </w:pP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pPr>
      <w:r>
        <w:rPr>
          <w:rFonts w:hint="eastAsia" w:ascii="方正黑体简体" w:hAnsi="方正黑体简体" w:eastAsia="方正黑体简体" w:cs="方正黑体简体"/>
        </w:rPr>
        <w:t>第十九条【信息采集管理】</w:t>
      </w:r>
      <w:r>
        <w:rPr>
          <w:rFonts w:hint="eastAsia"/>
        </w:rPr>
        <w:t xml:space="preserve">  </w:t>
      </w:r>
      <w:r>
        <w:rPr>
          <w:rFonts w:hint="eastAsia"/>
          <w:b w:val="0"/>
          <w:bCs w:val="0"/>
        </w:rPr>
        <w:t>各级处置非法集资牵头部门应当做好本行政区域非法集资信息采集登记管理工作，对各类涉嫌非法集资的案件、线索等信息及时收集整理，建立工作台账，并按要求定期向上级处置非法集资牵头部门报告。</w:t>
      </w:r>
    </w:p>
    <w:p>
      <w:pPr>
        <w:keepNext w:val="0"/>
        <w:keepLines w:val="0"/>
        <w:pageBreakBefore w:val="0"/>
        <w:widowControl w:val="0"/>
        <w:kinsoku/>
        <w:wordWrap/>
        <w:overflowPunct/>
        <w:topLinePunct w:val="0"/>
        <w:autoSpaceDE/>
        <w:autoSpaceDN/>
        <w:bidi w:val="0"/>
        <w:adjustRightInd/>
        <w:snapToGrid/>
        <w:spacing w:line="580" w:lineRule="exact"/>
        <w:textAlignment w:val="auto"/>
      </w:pP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rPr>
      </w:pPr>
      <w:r>
        <w:rPr>
          <w:rFonts w:hint="eastAsia" w:ascii="方正黑体简体" w:hAnsi="方正黑体简体" w:eastAsia="方正黑体简体" w:cs="方正黑体简体"/>
          <w:sz w:val="32"/>
          <w:szCs w:val="32"/>
        </w:rPr>
        <w:t>第三章  处  置</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hint="eastAsia"/>
        </w:rPr>
      </w:pPr>
      <w:r>
        <w:rPr>
          <w:rFonts w:hint="eastAsia" w:ascii="方正黑体简体" w:hAnsi="方正黑体简体" w:eastAsia="方正黑体简体" w:cs="方正黑体简体"/>
        </w:rPr>
        <w:t>第二十条【</w:t>
      </w:r>
      <w:r>
        <w:rPr>
          <w:rFonts w:hint="eastAsia" w:ascii="方正黑体简体" w:hAnsi="方正黑体简体" w:eastAsia="方正黑体简体" w:cs="方正黑体简体"/>
          <w:lang w:eastAsia="zh-CN"/>
        </w:rPr>
        <w:t>调查内容</w:t>
      </w:r>
      <w:r>
        <w:rPr>
          <w:rFonts w:hint="eastAsia" w:ascii="方正黑体简体" w:hAnsi="方正黑体简体" w:eastAsia="方正黑体简体" w:cs="方正黑体简体"/>
        </w:rPr>
        <w:t>】</w:t>
      </w:r>
      <w:r>
        <w:rPr>
          <w:rFonts w:hint="eastAsia"/>
        </w:rPr>
        <w:t xml:space="preserve">  对本行政区域内的下列行为，涉嫌非法集资的，处置非法集资牵头部门应当及时组织有关行业主管部门、监管部门以及国务院金融管理部门分支机构、派出机构进行调查认定：</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hint="eastAsia"/>
        </w:rPr>
      </w:pPr>
      <w:r>
        <w:rPr>
          <w:rFonts w:hint="eastAsia"/>
        </w:rPr>
        <w:t>（一）设立互联网企业、投资及投资咨询类企业、各类交易场所或者平台、农民专业合作社、资金互助组织以及其他组织吸收资金；</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hint="eastAsia"/>
        </w:rPr>
      </w:pPr>
      <w:r>
        <w:rPr>
          <w:rFonts w:hint="eastAsia"/>
        </w:rPr>
        <w:t>（二）以发行或者转让股权、债权，募集基金，销售保险产品，或者以从事各类资产管理、虚拟货币、融资租赁业务等名义吸收资金；</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hint="eastAsia"/>
        </w:rPr>
      </w:pPr>
      <w:r>
        <w:rPr>
          <w:rFonts w:hint="eastAsia"/>
        </w:rPr>
        <w:t>（三）在销售商品、提供服务、投资项目等商业活动中，以承诺给付货币、股权、实物等回报的形式吸收资金；</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hint="eastAsia"/>
        </w:rPr>
      </w:pPr>
      <w:r>
        <w:rPr>
          <w:rFonts w:hint="eastAsia"/>
        </w:rPr>
        <w:t>（四）违反法律、行政法规或者国家有关规定，通过大众传播媒介、即时通信工具或者其他方式公开传播吸收资金信息；</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pPr>
      <w:r>
        <w:rPr>
          <w:rFonts w:hint="eastAsia"/>
        </w:rPr>
        <w:t>（五）其他涉嫌非法集资的行为。</w:t>
      </w:r>
    </w:p>
    <w:p>
      <w:pPr>
        <w:keepNext w:val="0"/>
        <w:keepLines w:val="0"/>
        <w:pageBreakBefore w:val="0"/>
        <w:widowControl w:val="0"/>
        <w:kinsoku/>
        <w:wordWrap/>
        <w:overflowPunct/>
        <w:topLinePunct w:val="0"/>
        <w:autoSpaceDE/>
        <w:autoSpaceDN/>
        <w:bidi w:val="0"/>
        <w:adjustRightInd/>
        <w:snapToGrid/>
        <w:spacing w:line="580" w:lineRule="exact"/>
        <w:textAlignment w:val="auto"/>
      </w:pP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hint="eastAsia"/>
          <w:b w:val="0"/>
          <w:bCs w:val="0"/>
        </w:rPr>
      </w:pPr>
      <w:r>
        <w:rPr>
          <w:rFonts w:hint="eastAsia" w:ascii="方正黑体简体" w:hAnsi="方正黑体简体" w:eastAsia="方正黑体简体" w:cs="方正黑体简体"/>
        </w:rPr>
        <w:t>第二十一条【级别管辖】</w:t>
      </w:r>
      <w:r>
        <w:rPr>
          <w:rFonts w:hint="eastAsia"/>
        </w:rPr>
        <w:t xml:space="preserve">  </w:t>
      </w:r>
      <w:r>
        <w:rPr>
          <w:rFonts w:hint="eastAsia"/>
          <w:b w:val="0"/>
          <w:bCs w:val="0"/>
        </w:rPr>
        <w:t>县（市、区）处置非法集资牵头部门负责组织调查、认定和处置本行政区域内的涉嫌非法集资行为，有关行业主管部门、监管部门以及国务院金融管理部门驻滇分支机构、派出机构积极配合。</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hint="eastAsia"/>
          <w:b w:val="0"/>
          <w:bCs w:val="0"/>
        </w:rPr>
      </w:pPr>
      <w:r>
        <w:rPr>
          <w:rFonts w:hint="eastAsia"/>
          <w:b w:val="0"/>
          <w:bCs w:val="0"/>
        </w:rPr>
        <w:t>州（市）处置非法集资牵头部门负责组织调查、认定和处置本行政区域的下列涉嫌非法集资行为：</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hint="eastAsia"/>
          <w:b w:val="0"/>
          <w:bCs w:val="0"/>
        </w:rPr>
      </w:pPr>
      <w:r>
        <w:rPr>
          <w:rFonts w:hint="eastAsia"/>
          <w:b w:val="0"/>
          <w:bCs w:val="0"/>
        </w:rPr>
        <w:t>（一）本行政区域内有重大影响的；</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hint="eastAsia"/>
          <w:b w:val="0"/>
          <w:bCs w:val="0"/>
        </w:rPr>
      </w:pPr>
      <w:r>
        <w:rPr>
          <w:rFonts w:hint="eastAsia"/>
          <w:b w:val="0"/>
          <w:bCs w:val="0"/>
        </w:rPr>
        <w:t>（二）省级处置非法集资牵头部门或州（市）人民政府指定由州（市）处置非法集资牵头部门管辖的；</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hint="eastAsia"/>
          <w:b w:val="0"/>
          <w:bCs w:val="0"/>
        </w:rPr>
      </w:pPr>
      <w:r>
        <w:rPr>
          <w:rFonts w:hint="eastAsia"/>
          <w:b w:val="0"/>
          <w:bCs w:val="0"/>
        </w:rPr>
        <w:t>（三）认为应当由本部门管辖的。</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hint="eastAsia"/>
          <w:b w:val="0"/>
          <w:bCs w:val="0"/>
        </w:rPr>
      </w:pPr>
      <w:r>
        <w:rPr>
          <w:rFonts w:hint="eastAsia"/>
          <w:b w:val="0"/>
          <w:bCs w:val="0"/>
        </w:rPr>
        <w:t>省级处置非法集资牵头部门负责组织调查、认定和处置本行政区域的下列涉嫌非法集资行为：</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hint="eastAsia"/>
          <w:b w:val="0"/>
          <w:bCs w:val="0"/>
        </w:rPr>
      </w:pPr>
      <w:r>
        <w:rPr>
          <w:rFonts w:hint="eastAsia"/>
          <w:b w:val="0"/>
          <w:bCs w:val="0"/>
        </w:rPr>
        <w:t>（一）本行政区域内有重大影响的；</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hint="eastAsia"/>
          <w:b w:val="0"/>
          <w:bCs w:val="0"/>
        </w:rPr>
      </w:pPr>
      <w:r>
        <w:rPr>
          <w:rFonts w:hint="eastAsia"/>
          <w:b w:val="0"/>
          <w:bCs w:val="0"/>
        </w:rPr>
        <w:t>（二）处置非法集资部际联席会议或省人民政府指定由省处置非法集资牵头部门管辖的；</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pPr>
      <w:r>
        <w:rPr>
          <w:rFonts w:hint="eastAsia"/>
          <w:b w:val="0"/>
          <w:bCs w:val="0"/>
        </w:rPr>
        <w:t>（三）认为应当由本部门管辖的。</w:t>
      </w:r>
    </w:p>
    <w:p>
      <w:pPr>
        <w:keepNext w:val="0"/>
        <w:keepLines w:val="0"/>
        <w:pageBreakBefore w:val="0"/>
        <w:widowControl w:val="0"/>
        <w:kinsoku/>
        <w:wordWrap/>
        <w:overflowPunct/>
        <w:topLinePunct w:val="0"/>
        <w:autoSpaceDE/>
        <w:autoSpaceDN/>
        <w:bidi w:val="0"/>
        <w:adjustRightInd/>
        <w:snapToGrid/>
        <w:spacing w:line="580" w:lineRule="exact"/>
        <w:textAlignment w:val="auto"/>
      </w:pP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hint="eastAsia"/>
        </w:rPr>
      </w:pPr>
      <w:r>
        <w:rPr>
          <w:rFonts w:hint="eastAsia" w:ascii="方正黑体简体" w:hAnsi="方正黑体简体" w:eastAsia="方正黑体简体" w:cs="方正黑体简体"/>
        </w:rPr>
        <w:t>第二十二条【地域管辖】</w:t>
      </w:r>
      <w:r>
        <w:rPr>
          <w:rFonts w:hint="eastAsia"/>
        </w:rPr>
        <w:t xml:space="preserve">  对跨行政区域的涉嫌非法集资行为，非法集资人为单位的，由其登记地的处置非法集资牵头部门组织调查认定</w:t>
      </w:r>
      <w:r>
        <w:rPr>
          <w:rFonts w:hint="eastAsia"/>
          <w:b w:val="0"/>
          <w:bCs w:val="0"/>
          <w:lang w:eastAsia="zh-CN"/>
        </w:rPr>
        <w:t>处置</w:t>
      </w:r>
      <w:r>
        <w:rPr>
          <w:rFonts w:hint="eastAsia"/>
          <w:b w:val="0"/>
          <w:bCs w:val="0"/>
        </w:rPr>
        <w:t>；非法集资人为个人的，由其住所地或者经常居住地的处置非法集资牵头部门组织调查认定</w:t>
      </w:r>
      <w:r>
        <w:rPr>
          <w:rFonts w:hint="eastAsia"/>
          <w:b w:val="0"/>
          <w:bCs w:val="0"/>
          <w:lang w:eastAsia="zh-CN"/>
        </w:rPr>
        <w:t>处置</w:t>
      </w:r>
      <w:r>
        <w:rPr>
          <w:rFonts w:hint="eastAsia"/>
          <w:b w:val="0"/>
          <w:bCs w:val="0"/>
        </w:rPr>
        <w:t>。涉嫌非法集资行为发生地、集资资产所在地以及集资参与人所在地的处置非法集资牵头部门应当配合调查认定</w:t>
      </w:r>
      <w:r>
        <w:rPr>
          <w:rFonts w:hint="eastAsia"/>
          <w:b w:val="0"/>
          <w:bCs w:val="0"/>
          <w:lang w:eastAsia="zh-CN"/>
        </w:rPr>
        <w:t>处置</w:t>
      </w:r>
      <w:r>
        <w:rPr>
          <w:rFonts w:hint="eastAsia"/>
          <w:b w:val="0"/>
          <w:bCs w:val="0"/>
        </w:rPr>
        <w:t>工作。</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pPr>
      <w:r>
        <w:rPr>
          <w:rFonts w:hint="eastAsia"/>
          <w:b w:val="0"/>
          <w:bCs w:val="0"/>
        </w:rPr>
        <w:t>两个以上处置非法集资牵头部门对组织调查认定</w:t>
      </w:r>
      <w:r>
        <w:rPr>
          <w:rFonts w:hint="eastAsia"/>
          <w:b w:val="0"/>
          <w:bCs w:val="0"/>
          <w:lang w:eastAsia="zh-CN"/>
        </w:rPr>
        <w:t>处置</w:t>
      </w:r>
      <w:r>
        <w:rPr>
          <w:rFonts w:hint="eastAsia"/>
          <w:b w:val="0"/>
          <w:bCs w:val="0"/>
        </w:rPr>
        <w:t>职责发生争议的，报请共同的上级处置非法集资牵头部门确定。对跨省（自治区、直辖市）组织调查认定职责存在争议的，由省处置非法集资牵头部门报请处置非法集资部际联席会议确定。</w:t>
      </w:r>
    </w:p>
    <w:p>
      <w:pPr>
        <w:keepNext w:val="0"/>
        <w:keepLines w:val="0"/>
        <w:pageBreakBefore w:val="0"/>
        <w:widowControl w:val="0"/>
        <w:kinsoku/>
        <w:wordWrap/>
        <w:overflowPunct/>
        <w:topLinePunct w:val="0"/>
        <w:autoSpaceDE/>
        <w:autoSpaceDN/>
        <w:bidi w:val="0"/>
        <w:adjustRightInd/>
        <w:snapToGrid/>
        <w:spacing w:line="580" w:lineRule="exact"/>
        <w:textAlignment w:val="auto"/>
      </w:pP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hint="eastAsia" w:eastAsia="方正仿宋简体"/>
          <w:b w:val="0"/>
          <w:bCs w:val="0"/>
          <w:lang w:eastAsia="zh-CN"/>
        </w:rPr>
      </w:pPr>
      <w:r>
        <w:rPr>
          <w:rFonts w:hint="eastAsia" w:ascii="方正黑体简体" w:hAnsi="方正黑体简体" w:eastAsia="方正黑体简体" w:cs="方正黑体简体"/>
        </w:rPr>
        <w:t>第二十三条【</w:t>
      </w:r>
      <w:r>
        <w:rPr>
          <w:rFonts w:hint="eastAsia" w:ascii="方正黑体简体" w:hAnsi="方正黑体简体" w:eastAsia="方正黑体简体" w:cs="方正黑体简体"/>
          <w:lang w:eastAsia="zh-CN"/>
        </w:rPr>
        <w:t>调查处置</w:t>
      </w:r>
      <w:r>
        <w:rPr>
          <w:rFonts w:hint="eastAsia" w:ascii="方正黑体简体" w:hAnsi="方正黑体简体" w:eastAsia="方正黑体简体" w:cs="方正黑体简体"/>
        </w:rPr>
        <w:t>】</w:t>
      </w:r>
      <w:r>
        <w:rPr>
          <w:rFonts w:hint="eastAsia"/>
          <w:lang w:val="en-US" w:eastAsia="zh-CN"/>
        </w:rPr>
        <w:t xml:space="preserve">  </w:t>
      </w:r>
      <w:r>
        <w:rPr>
          <w:rFonts w:hint="eastAsia"/>
          <w:b w:val="0"/>
          <w:bCs w:val="0"/>
        </w:rPr>
        <w:t>处置非法集资牵头部门对通过监测、举报、控告、移送以及上级交办的非法集资线索，应当及时</w:t>
      </w:r>
      <w:r>
        <w:rPr>
          <w:rFonts w:hint="eastAsia"/>
          <w:b w:val="0"/>
          <w:bCs w:val="0"/>
          <w:lang w:eastAsia="zh-CN"/>
        </w:rPr>
        <w:t>调查处置。</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hint="eastAsia"/>
        </w:rPr>
      </w:pP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hint="eastAsia"/>
        </w:rPr>
      </w:pPr>
      <w:r>
        <w:rPr>
          <w:rFonts w:hint="eastAsia" w:ascii="方正黑体简体" w:hAnsi="方正黑体简体" w:eastAsia="方正黑体简体" w:cs="方正黑体简体"/>
        </w:rPr>
        <w:t>第二十四条【调查措施】</w:t>
      </w:r>
      <w:r>
        <w:rPr>
          <w:rFonts w:hint="eastAsia"/>
        </w:rPr>
        <w:t xml:space="preserve">  处置非法集资牵头部门组织</w:t>
      </w:r>
      <w:r>
        <w:rPr>
          <w:rFonts w:hint="eastAsia"/>
          <w:lang w:eastAsia="zh-CN"/>
        </w:rPr>
        <w:t>调查</w:t>
      </w:r>
      <w:r>
        <w:rPr>
          <w:rFonts w:hint="eastAsia"/>
        </w:rPr>
        <w:t>涉嫌非法集资行为，可以采取下列措施：</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hint="eastAsia"/>
          <w:b w:val="0"/>
          <w:bCs w:val="0"/>
        </w:rPr>
      </w:pPr>
      <w:r>
        <w:rPr>
          <w:rFonts w:hint="eastAsia"/>
        </w:rPr>
        <w:t>（一）进入涉嫌非法集资的场所进行调查取证。</w:t>
      </w:r>
      <w:r>
        <w:rPr>
          <w:rFonts w:hint="eastAsia"/>
          <w:b w:val="0"/>
          <w:bCs w:val="0"/>
        </w:rPr>
        <w:t>调查取证主要包括下列内容：</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hint="eastAsia"/>
          <w:b w:val="0"/>
          <w:bCs w:val="0"/>
        </w:rPr>
      </w:pPr>
      <w:r>
        <w:rPr>
          <w:rFonts w:hint="eastAsia"/>
          <w:b w:val="0"/>
          <w:bCs w:val="0"/>
        </w:rPr>
        <w:t xml:space="preserve">1.涉嫌非法集资的单位或个人的基本情况； </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hint="eastAsia"/>
          <w:b w:val="0"/>
          <w:bCs w:val="0"/>
        </w:rPr>
      </w:pPr>
      <w:r>
        <w:rPr>
          <w:rFonts w:hint="eastAsia"/>
          <w:b w:val="0"/>
          <w:bCs w:val="0"/>
        </w:rPr>
        <w:t>2.集资方式、数额、范围和人数；</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hint="eastAsia"/>
          <w:b w:val="0"/>
          <w:bCs w:val="0"/>
        </w:rPr>
      </w:pPr>
      <w:r>
        <w:rPr>
          <w:rFonts w:hint="eastAsia"/>
          <w:b w:val="0"/>
          <w:bCs w:val="0"/>
        </w:rPr>
        <w:t>3.经营方式、经营范围、合同兑付情况、纳税情况；</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hint="eastAsia"/>
          <w:b w:val="0"/>
          <w:bCs w:val="0"/>
        </w:rPr>
      </w:pPr>
      <w:r>
        <w:rPr>
          <w:rFonts w:hint="eastAsia"/>
          <w:b w:val="0"/>
          <w:bCs w:val="0"/>
        </w:rPr>
        <w:t>4.股东、实际控制人、董事、监事、高级管理人员、业务人员及其家庭成员、主要社会关系等；</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hint="eastAsia"/>
          <w:b w:val="0"/>
          <w:bCs w:val="0"/>
        </w:rPr>
      </w:pPr>
      <w:r>
        <w:rPr>
          <w:rFonts w:hint="eastAsia"/>
          <w:b w:val="0"/>
          <w:bCs w:val="0"/>
        </w:rPr>
        <w:t>5.涉嫌非法集资的单位或个人的资金运作情况；</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hint="eastAsia"/>
          <w:b w:val="0"/>
          <w:bCs w:val="0"/>
        </w:rPr>
      </w:pPr>
      <w:r>
        <w:rPr>
          <w:rFonts w:hint="eastAsia"/>
          <w:b w:val="0"/>
          <w:bCs w:val="0"/>
        </w:rPr>
        <w:t>6.涉嫌单位或个人的主要关联企业情况；</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hint="eastAsia" w:eastAsia="方正仿宋简体"/>
          <w:b w:val="0"/>
          <w:bCs w:val="0"/>
          <w:lang w:eastAsia="zh-CN"/>
        </w:rPr>
      </w:pPr>
      <w:r>
        <w:rPr>
          <w:rFonts w:hint="eastAsia"/>
          <w:b w:val="0"/>
          <w:bCs w:val="0"/>
        </w:rPr>
        <w:t>7.其他涉嫌非法集资的问题等</w:t>
      </w:r>
      <w:r>
        <w:rPr>
          <w:rFonts w:hint="eastAsia"/>
          <w:b w:val="0"/>
          <w:bCs w:val="0"/>
          <w:lang w:eastAsia="zh-CN"/>
        </w:rPr>
        <w:t>。</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hint="eastAsia"/>
          <w:b w:val="0"/>
          <w:bCs w:val="0"/>
        </w:rPr>
      </w:pPr>
      <w:r>
        <w:rPr>
          <w:rFonts w:hint="eastAsia"/>
        </w:rPr>
        <w:t>（二）询问与被调查事件有关的单位和个人，要求其对有关事项作出说明。</w:t>
      </w:r>
      <w:r>
        <w:rPr>
          <w:rFonts w:hint="eastAsia"/>
          <w:b w:val="0"/>
          <w:bCs w:val="0"/>
        </w:rPr>
        <w:t>询问应当制作询问笔录。</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hint="eastAsia"/>
          <w:b w:val="0"/>
          <w:bCs w:val="0"/>
        </w:rPr>
      </w:pPr>
      <w:r>
        <w:rPr>
          <w:rFonts w:hint="eastAsia"/>
        </w:rPr>
        <w:t>（三）查阅、复制与被调查事件有关的文件、资料、电子数据等，对可能被转移、隐匿或者毁损的文件、资料、电子设备等予以封存。</w:t>
      </w:r>
      <w:r>
        <w:rPr>
          <w:rFonts w:hint="eastAsia"/>
          <w:b w:val="0"/>
          <w:bCs w:val="0"/>
        </w:rPr>
        <w:t>采取封存措施时，应当通知当事人到场。调查人员应当制作封存记录，对被封存的物品加贴封条，开具清单。</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hint="eastAsia"/>
        </w:rPr>
      </w:pPr>
      <w:r>
        <w:rPr>
          <w:rFonts w:hint="eastAsia"/>
        </w:rPr>
        <w:t>（四）经处置非法集资牵头部门主要负责人批准，依法查询涉嫌非法集资的有关账户。</w:t>
      </w:r>
      <w:r>
        <w:rPr>
          <w:rFonts w:hint="eastAsia"/>
          <w:b w:val="0"/>
          <w:bCs w:val="0"/>
        </w:rPr>
        <w:t>金融机构、非银行支付机构应当予以协助，并及时反馈查询结果。</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hint="eastAsia"/>
        </w:rPr>
      </w:pPr>
      <w:r>
        <w:rPr>
          <w:rFonts w:hint="eastAsia"/>
        </w:rPr>
        <w:t>调查人员不得少于2人，并应当</w:t>
      </w:r>
      <w:r>
        <w:rPr>
          <w:rFonts w:hint="eastAsia"/>
          <w:b w:val="0"/>
          <w:bCs w:val="0"/>
        </w:rPr>
        <w:t>主动</w:t>
      </w:r>
      <w:r>
        <w:rPr>
          <w:rFonts w:hint="eastAsia"/>
        </w:rPr>
        <w:t>出示执法证件。</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pPr>
      <w:r>
        <w:rPr>
          <w:rFonts w:hint="eastAsia"/>
        </w:rPr>
        <w:t>与被调查事件有关的单位和个人应当配合调查，不得拒绝、阻碍。</w:t>
      </w:r>
    </w:p>
    <w:p>
      <w:pPr>
        <w:keepNext w:val="0"/>
        <w:keepLines w:val="0"/>
        <w:pageBreakBefore w:val="0"/>
        <w:widowControl w:val="0"/>
        <w:kinsoku/>
        <w:wordWrap/>
        <w:overflowPunct/>
        <w:topLinePunct w:val="0"/>
        <w:autoSpaceDE/>
        <w:autoSpaceDN/>
        <w:bidi w:val="0"/>
        <w:adjustRightInd/>
        <w:snapToGrid/>
        <w:spacing w:line="580" w:lineRule="exact"/>
        <w:textAlignment w:val="auto"/>
      </w:pP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pPr>
      <w:r>
        <w:rPr>
          <w:rFonts w:hint="eastAsia" w:ascii="方正黑体简体" w:hAnsi="方正黑体简体" w:eastAsia="方正黑体简体" w:cs="方正黑体简体"/>
        </w:rPr>
        <w:t>第二十五条【临时管控措施】</w:t>
      </w:r>
      <w:r>
        <w:rPr>
          <w:rFonts w:hint="eastAsia"/>
        </w:rPr>
        <w:t xml:space="preserve">  处置非法集资牵头部门对涉嫌非法集资行为组织调查，有权要求暂停集资行为，通知市场监督管理部门或其他有关部门暂停为涉嫌非法集资的有关单位办理设立、变更或者注销登记。</w:t>
      </w:r>
    </w:p>
    <w:p>
      <w:pPr>
        <w:keepNext w:val="0"/>
        <w:keepLines w:val="0"/>
        <w:pageBreakBefore w:val="0"/>
        <w:widowControl w:val="0"/>
        <w:kinsoku/>
        <w:wordWrap/>
        <w:overflowPunct/>
        <w:topLinePunct w:val="0"/>
        <w:autoSpaceDE/>
        <w:autoSpaceDN/>
        <w:bidi w:val="0"/>
        <w:adjustRightInd/>
        <w:snapToGrid/>
        <w:spacing w:line="580" w:lineRule="exact"/>
        <w:textAlignment w:val="auto"/>
      </w:pP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hint="eastAsia"/>
          <w:b w:val="0"/>
          <w:bCs w:val="0"/>
        </w:rPr>
      </w:pPr>
      <w:r>
        <w:rPr>
          <w:rFonts w:hint="eastAsia" w:ascii="方正黑体简体" w:hAnsi="方正黑体简体" w:eastAsia="方正黑体简体" w:cs="方正黑体简体"/>
        </w:rPr>
        <w:t>第二十六条【研判</w:t>
      </w:r>
      <w:r>
        <w:rPr>
          <w:rFonts w:hint="eastAsia" w:ascii="方正黑体简体" w:hAnsi="方正黑体简体" w:eastAsia="方正黑体简体" w:cs="方正黑体简体"/>
          <w:lang w:eastAsia="zh-CN"/>
        </w:rPr>
        <w:t>认定</w:t>
      </w:r>
      <w:r>
        <w:rPr>
          <w:rFonts w:hint="eastAsia" w:ascii="方正黑体简体" w:hAnsi="方正黑体简体" w:eastAsia="方正黑体简体" w:cs="方正黑体简体"/>
        </w:rPr>
        <w:t>】</w:t>
      </w:r>
      <w:r>
        <w:rPr>
          <w:rFonts w:hint="eastAsia"/>
        </w:rPr>
        <w:t xml:space="preserve">  </w:t>
      </w:r>
      <w:r>
        <w:rPr>
          <w:rFonts w:hint="eastAsia"/>
          <w:b w:val="0"/>
          <w:bCs w:val="0"/>
        </w:rPr>
        <w:t>处置非法集资牵头部门应当及时组织有关部门及国务院金融管理部门驻滇分支机构、派出机构等对案件进行集体讨论，并做出研判意见：</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hint="eastAsia"/>
          <w:b w:val="0"/>
          <w:bCs w:val="0"/>
        </w:rPr>
      </w:pPr>
      <w:r>
        <w:rPr>
          <w:rFonts w:hint="eastAsia"/>
          <w:b w:val="0"/>
          <w:bCs w:val="0"/>
        </w:rPr>
        <w:t>（一）认定涉嫌非法集资行政违法的，根据需要采取相关措施，依法予以</w:t>
      </w:r>
      <w:r>
        <w:rPr>
          <w:rFonts w:hint="eastAsia"/>
          <w:b w:val="0"/>
          <w:bCs w:val="0"/>
          <w:lang w:eastAsia="zh-CN"/>
        </w:rPr>
        <w:t>处罚和</w:t>
      </w:r>
      <w:r>
        <w:rPr>
          <w:rFonts w:hint="eastAsia"/>
          <w:b w:val="0"/>
          <w:bCs w:val="0"/>
        </w:rPr>
        <w:t>处置。</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hint="eastAsia"/>
          <w:b w:val="0"/>
          <w:bCs w:val="0"/>
        </w:rPr>
      </w:pPr>
      <w:r>
        <w:rPr>
          <w:rFonts w:hint="eastAsia"/>
          <w:b w:val="0"/>
          <w:bCs w:val="0"/>
        </w:rPr>
        <w:t>（二）认为涉嫌非法集资犯罪的，移送公安机关</w:t>
      </w:r>
      <w:r>
        <w:rPr>
          <w:rFonts w:hint="eastAsia"/>
          <w:b w:val="0"/>
          <w:bCs w:val="0"/>
          <w:lang w:eastAsia="zh-CN"/>
        </w:rPr>
        <w:t>处理</w:t>
      </w:r>
      <w:r>
        <w:rPr>
          <w:rFonts w:hint="eastAsia"/>
          <w:b w:val="0"/>
          <w:bCs w:val="0"/>
        </w:rPr>
        <w:t>。</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pPr>
      <w:r>
        <w:rPr>
          <w:rFonts w:hint="eastAsia"/>
          <w:b w:val="0"/>
          <w:bCs w:val="0"/>
        </w:rPr>
        <w:t>（三）认定不属于非法集资的，终止调查</w:t>
      </w:r>
      <w:r>
        <w:rPr>
          <w:rFonts w:hint="eastAsia"/>
          <w:b w:val="0"/>
          <w:bCs w:val="0"/>
          <w:lang w:eastAsia="zh-CN"/>
        </w:rPr>
        <w:t>，</w:t>
      </w:r>
      <w:r>
        <w:rPr>
          <w:rFonts w:hint="eastAsia"/>
          <w:b w:val="0"/>
          <w:bCs w:val="0"/>
        </w:rPr>
        <w:t>撤销线索登记。</w:t>
      </w:r>
    </w:p>
    <w:p>
      <w:pPr>
        <w:keepNext w:val="0"/>
        <w:keepLines w:val="0"/>
        <w:pageBreakBefore w:val="0"/>
        <w:widowControl w:val="0"/>
        <w:kinsoku/>
        <w:wordWrap/>
        <w:overflowPunct/>
        <w:topLinePunct w:val="0"/>
        <w:autoSpaceDE/>
        <w:autoSpaceDN/>
        <w:bidi w:val="0"/>
        <w:adjustRightInd/>
        <w:snapToGrid/>
        <w:spacing w:line="580" w:lineRule="exact"/>
        <w:textAlignment w:val="auto"/>
      </w:pP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hint="eastAsia"/>
        </w:rPr>
      </w:pPr>
      <w:r>
        <w:rPr>
          <w:rFonts w:hint="eastAsia" w:ascii="方正黑体简体" w:hAnsi="方正黑体简体" w:eastAsia="方正黑体简体" w:cs="方正黑体简体"/>
        </w:rPr>
        <w:t>第二十七条【行刑衔接】</w:t>
      </w:r>
      <w:r>
        <w:rPr>
          <w:rFonts w:hint="eastAsia"/>
        </w:rPr>
        <w:t xml:space="preserve">  经调查认定属于非法集资的，处置非法集资牵头部门应当责令非法集资人、非法集资协助人立即停止有关非法活动；发现涉嫌犯罪的，应当及时将案件移送公安机关，并配合做好相关工作。</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hint="eastAsia"/>
        </w:rPr>
      </w:pPr>
      <w:r>
        <w:rPr>
          <w:rFonts w:hint="eastAsia"/>
        </w:rPr>
        <w:t>行政机关对非法集资行为的调查认定，不是依法追究刑事责任的必经程序。</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b w:val="0"/>
          <w:bCs w:val="0"/>
        </w:rPr>
      </w:pPr>
      <w:r>
        <w:rPr>
          <w:rFonts w:hint="eastAsia"/>
          <w:b w:val="0"/>
          <w:bCs w:val="0"/>
        </w:rPr>
        <w:t>省处置非法集资牵头部门会同省级公安部门建立健全案件移送</w:t>
      </w:r>
      <w:r>
        <w:rPr>
          <w:rFonts w:hint="eastAsia"/>
          <w:b w:val="0"/>
          <w:bCs w:val="0"/>
          <w:lang w:eastAsia="zh-CN"/>
        </w:rPr>
        <w:t>工作</w:t>
      </w:r>
      <w:r>
        <w:rPr>
          <w:rFonts w:hint="eastAsia"/>
          <w:b w:val="0"/>
          <w:bCs w:val="0"/>
        </w:rPr>
        <w:t>制度，完善案件信息通报机制。</w:t>
      </w:r>
    </w:p>
    <w:p>
      <w:pPr>
        <w:keepNext w:val="0"/>
        <w:keepLines w:val="0"/>
        <w:pageBreakBefore w:val="0"/>
        <w:widowControl w:val="0"/>
        <w:kinsoku/>
        <w:wordWrap/>
        <w:overflowPunct/>
        <w:topLinePunct w:val="0"/>
        <w:autoSpaceDE/>
        <w:autoSpaceDN/>
        <w:bidi w:val="0"/>
        <w:adjustRightInd/>
        <w:snapToGrid/>
        <w:spacing w:line="580" w:lineRule="exact"/>
        <w:textAlignment w:val="auto"/>
      </w:pP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hint="eastAsia" w:eastAsia="方正仿宋简体"/>
          <w:b w:val="0"/>
          <w:bCs w:val="0"/>
          <w:lang w:eastAsia="zh-CN"/>
        </w:rPr>
      </w:pPr>
      <w:r>
        <w:rPr>
          <w:rFonts w:hint="eastAsia" w:ascii="方正黑体简体" w:hAnsi="方正黑体简体" w:eastAsia="方正黑体简体" w:cs="方正黑体简体"/>
        </w:rPr>
        <w:t>第二十八条【处置措施】</w:t>
      </w:r>
      <w:r>
        <w:rPr>
          <w:rFonts w:hint="eastAsia"/>
        </w:rPr>
        <w:t xml:space="preserve">  根据处置非法集资的需要，</w:t>
      </w:r>
      <w:r>
        <w:rPr>
          <w:rFonts w:hint="eastAsia"/>
          <w:b w:val="0"/>
          <w:bCs w:val="0"/>
        </w:rPr>
        <w:t>处置非法集资牵头部门可以采取《防范和处置非法集资条例》</w:t>
      </w:r>
      <w:r>
        <w:rPr>
          <w:rFonts w:hint="eastAsia"/>
          <w:b w:val="0"/>
          <w:bCs w:val="0"/>
          <w:lang w:eastAsia="zh-CN"/>
        </w:rPr>
        <w:t>第二十四条规定的措施。</w:t>
      </w:r>
    </w:p>
    <w:p>
      <w:pPr>
        <w:keepNext w:val="0"/>
        <w:keepLines w:val="0"/>
        <w:pageBreakBefore w:val="0"/>
        <w:widowControl w:val="0"/>
        <w:kinsoku/>
        <w:wordWrap/>
        <w:overflowPunct/>
        <w:topLinePunct w:val="0"/>
        <w:autoSpaceDE/>
        <w:autoSpaceDN/>
        <w:bidi w:val="0"/>
        <w:adjustRightInd/>
        <w:snapToGrid/>
        <w:spacing w:line="580" w:lineRule="exact"/>
        <w:textAlignment w:val="auto"/>
      </w:pP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hint="eastAsia"/>
        </w:rPr>
      </w:pPr>
      <w:r>
        <w:rPr>
          <w:rFonts w:hint="eastAsia" w:ascii="方正黑体简体" w:hAnsi="方正黑体简体" w:eastAsia="方正黑体简体" w:cs="方正黑体简体"/>
        </w:rPr>
        <w:t>第二十九条【资金清退】</w:t>
      </w:r>
      <w:r>
        <w:rPr>
          <w:rFonts w:hint="eastAsia"/>
        </w:rPr>
        <w:t xml:space="preserve">  非法集资人、非法集资协助人应当向集资参与人清退集资资金。清退过程应当接受处置非法集资牵头部门监督。</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hint="eastAsia"/>
        </w:rPr>
      </w:pPr>
      <w:r>
        <w:rPr>
          <w:rFonts w:hint="eastAsia"/>
        </w:rPr>
        <w:t>任何单位和个人不得从非法集资中获取经济利益。</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hint="eastAsia"/>
        </w:rPr>
      </w:pPr>
      <w:r>
        <w:rPr>
          <w:rFonts w:hint="eastAsia"/>
        </w:rPr>
        <w:t>因参与非法集资受到的损失，由集资参与人自行承担。</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hint="eastAsia"/>
        </w:rPr>
      </w:pP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hint="eastAsia"/>
        </w:rPr>
      </w:pPr>
      <w:r>
        <w:rPr>
          <w:rFonts w:hint="eastAsia" w:ascii="方正黑体简体" w:hAnsi="方正黑体简体" w:eastAsia="方正黑体简体" w:cs="方正黑体简体"/>
        </w:rPr>
        <w:t>第三十条【清退资金来源】</w:t>
      </w:r>
      <w:r>
        <w:rPr>
          <w:rFonts w:hint="eastAsia"/>
        </w:rPr>
        <w:t xml:space="preserve">  清退集资资金来源包括：</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hint="eastAsia"/>
        </w:rPr>
      </w:pPr>
      <w:r>
        <w:rPr>
          <w:rFonts w:hint="eastAsia"/>
        </w:rPr>
        <w:t>（一）非法集资资金余额；</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hint="eastAsia"/>
        </w:rPr>
      </w:pPr>
      <w:r>
        <w:rPr>
          <w:rFonts w:hint="eastAsia"/>
        </w:rPr>
        <w:t>（二）非法集资资金的收益或者转换的其他资产及其收益；</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hint="eastAsia"/>
        </w:rPr>
      </w:pPr>
      <w:r>
        <w:rPr>
          <w:rFonts w:hint="eastAsia"/>
        </w:rPr>
        <w:t>（三）非法集资人及其股东、实际控制人、董事、监事、高级管理人员和其他相关人员从非法集资中获得的经济利益；</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hint="eastAsia"/>
        </w:rPr>
      </w:pPr>
      <w:r>
        <w:rPr>
          <w:rFonts w:hint="eastAsia"/>
        </w:rPr>
        <w:t>（四）非法集资人隐匿、转移的非法集资资金或者相关资产；</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hint="eastAsia"/>
        </w:rPr>
      </w:pPr>
      <w:r>
        <w:rPr>
          <w:rFonts w:hint="eastAsia"/>
        </w:rPr>
        <w:t>（五）在非法集资中获得的广告费、代言费、代理费、好处费、返点费、佣金、提成等经济利益；</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hint="eastAsia"/>
        </w:rPr>
      </w:pPr>
      <w:r>
        <w:rPr>
          <w:rFonts w:hint="eastAsia"/>
        </w:rPr>
        <w:t>（六）可以作为清退集资资金的其他资产。</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hint="eastAsia"/>
        </w:rPr>
      </w:pP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hint="eastAsia"/>
        </w:rPr>
      </w:pPr>
      <w:r>
        <w:rPr>
          <w:rFonts w:hint="eastAsia" w:ascii="方正黑体简体" w:hAnsi="方正黑体简体" w:eastAsia="方正黑体简体" w:cs="方正黑体简体"/>
        </w:rPr>
        <w:t>第三十一条【配合处置】</w:t>
      </w:r>
      <w:r>
        <w:rPr>
          <w:rFonts w:hint="eastAsia"/>
        </w:rPr>
        <w:t xml:space="preserve">  国务院金融管理部</w:t>
      </w:r>
      <w:r>
        <w:rPr>
          <w:rFonts w:hint="eastAsia"/>
          <w:b w:val="0"/>
          <w:bCs w:val="0"/>
        </w:rPr>
        <w:t>门</w:t>
      </w:r>
      <w:r>
        <w:rPr>
          <w:rFonts w:hint="eastAsia"/>
          <w:b w:val="0"/>
          <w:bCs w:val="0"/>
          <w:lang w:eastAsia="zh-CN"/>
        </w:rPr>
        <w:t>驻滇</w:t>
      </w:r>
      <w:r>
        <w:rPr>
          <w:rFonts w:hint="eastAsia"/>
          <w:b w:val="0"/>
          <w:bCs w:val="0"/>
        </w:rPr>
        <w:t>分支机构、派出机构，</w:t>
      </w:r>
      <w:r>
        <w:rPr>
          <w:rFonts w:hint="eastAsia"/>
          <w:b w:val="0"/>
          <w:bCs w:val="0"/>
          <w:lang w:eastAsia="zh-CN"/>
        </w:rPr>
        <w:t>各级</w:t>
      </w:r>
      <w:r>
        <w:rPr>
          <w:rFonts w:hint="eastAsia"/>
        </w:rPr>
        <w:t>地方人民政府有关部门以及其他有关单位和个人，对处置非法集资工作应当给予支持、配合。</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hint="eastAsia"/>
        </w:rPr>
      </w:pPr>
      <w:r>
        <w:rPr>
          <w:rFonts w:hint="eastAsia"/>
        </w:rPr>
        <w:t>任何单位和个人不得阻挠、妨碍处置非法集资工作。</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hint="eastAsia"/>
        </w:rPr>
      </w:pP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hint="eastAsia"/>
          <w:b w:val="0"/>
          <w:bCs w:val="0"/>
        </w:rPr>
      </w:pPr>
      <w:r>
        <w:rPr>
          <w:rFonts w:hint="eastAsia" w:ascii="方正黑体简体" w:hAnsi="方正黑体简体" w:eastAsia="方正黑体简体" w:cs="方正黑体简体"/>
        </w:rPr>
        <w:t>第三十二条【维护社会稳定】</w:t>
      </w:r>
      <w:r>
        <w:rPr>
          <w:rFonts w:hint="eastAsia"/>
        </w:rPr>
        <w:t xml:space="preserve"> </w:t>
      </w:r>
      <w:r>
        <w:rPr>
          <w:rFonts w:hint="eastAsia"/>
          <w:b w:val="0"/>
          <w:bCs w:val="0"/>
        </w:rPr>
        <w:t xml:space="preserve"> 处置非法集资过程中，有关地方人民政府应当落实属地责任，处置非法集资牵头部门应当协调组织有关部门加强风险研判，制定应急处置预案，采取有效措施维护社会稳定。</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hint="eastAsia"/>
        </w:rPr>
      </w:pP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hint="eastAsia"/>
          <w:b w:val="0"/>
          <w:bCs w:val="0"/>
        </w:rPr>
      </w:pPr>
      <w:r>
        <w:rPr>
          <w:rFonts w:hint="eastAsia" w:ascii="方正黑体简体" w:hAnsi="方正黑体简体" w:eastAsia="方正黑体简体" w:cs="方正黑体简体"/>
        </w:rPr>
        <w:t>第三十三条【法律责任】</w:t>
      </w:r>
      <w:r>
        <w:rPr>
          <w:rFonts w:hint="eastAsia"/>
          <w:b/>
          <w:bCs/>
        </w:rPr>
        <w:t xml:space="preserve">  </w:t>
      </w:r>
      <w:r>
        <w:rPr>
          <w:rFonts w:hint="eastAsia"/>
          <w:b w:val="0"/>
          <w:bCs w:val="0"/>
        </w:rPr>
        <w:t>对需要追究法律责任的，处置非法集资牵头部门、行业主管部门、监管部门以及国务院金融管理部门驻滇分支机构、派出机构按照《中华人民共和国行政处罚法》、《防范和处置非法集资条例》等执行。构成犯罪的，依法追究刑事责任。</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hint="eastAsia"/>
        </w:rPr>
      </w:pP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hint="eastAsia"/>
          <w:lang w:eastAsia="zh-CN"/>
        </w:rPr>
      </w:pPr>
      <w:r>
        <w:rPr>
          <w:rFonts w:hint="eastAsia" w:ascii="方正黑体简体" w:hAnsi="方正黑体简体" w:eastAsia="方正黑体简体" w:cs="方正黑体简体"/>
        </w:rPr>
        <w:t>第三十四条【信用管理】</w:t>
      </w:r>
      <w:r>
        <w:rPr>
          <w:rFonts w:hint="eastAsia"/>
        </w:rPr>
        <w:t xml:space="preserve">  </w:t>
      </w:r>
      <w:r>
        <w:rPr>
          <w:rFonts w:hint="eastAsia"/>
          <w:lang w:eastAsia="zh-CN"/>
        </w:rPr>
        <w:t>对依照《防范和处置非法集资条例》受到</w:t>
      </w:r>
      <w:r>
        <w:rPr>
          <w:rFonts w:hint="eastAsia"/>
        </w:rPr>
        <w:t>行政处罚的非法集资人、非法集资协助人</w:t>
      </w:r>
      <w:r>
        <w:rPr>
          <w:rFonts w:hint="eastAsia"/>
          <w:lang w:eastAsia="zh-CN"/>
        </w:rPr>
        <w:t>，</w:t>
      </w:r>
      <w:r>
        <w:rPr>
          <w:rFonts w:hint="eastAsia"/>
        </w:rPr>
        <w:t>由有关部门建立信用记录，按照规定将其信用记录纳入信用信息共享平台。</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hint="eastAsia"/>
        </w:rPr>
      </w:pP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jc w:val="center"/>
        <w:textAlignment w:val="auto"/>
        <w:rPr>
          <w:rFonts w:hint="eastAsia"/>
        </w:rPr>
      </w:pPr>
      <w:r>
        <w:rPr>
          <w:rFonts w:hint="eastAsia" w:ascii="方正黑体简体" w:hAnsi="方正黑体简体" w:eastAsia="方正黑体简体" w:cs="方正黑体简体"/>
        </w:rPr>
        <w:t>第四章  附  则</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hint="eastAsia"/>
        </w:rPr>
      </w:pPr>
      <w:r>
        <w:rPr>
          <w:rFonts w:hint="eastAsia" w:ascii="方正黑体简体" w:hAnsi="方正黑体简体" w:eastAsia="方正黑体简体" w:cs="方正黑体简体"/>
        </w:rPr>
        <w:t>第三十五条【解释权】</w:t>
      </w:r>
      <w:r>
        <w:rPr>
          <w:rFonts w:hint="eastAsia"/>
        </w:rPr>
        <w:t xml:space="preserve">  本细则由省地方金融监督管理局负责解释。</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hint="eastAsia"/>
        </w:rPr>
      </w:pP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hint="eastAsia"/>
        </w:rPr>
      </w:pPr>
      <w:r>
        <w:rPr>
          <w:rFonts w:hint="eastAsia" w:ascii="方正黑体简体" w:hAnsi="方正黑体简体" w:eastAsia="方正黑体简体" w:cs="方正黑体简体"/>
        </w:rPr>
        <w:t>第三十六条【施行日期】</w:t>
      </w:r>
      <w:r>
        <w:rPr>
          <w:rFonts w:hint="eastAsia"/>
        </w:rPr>
        <w:t xml:space="preserve"> 本细则自印发之日起施行。</w:t>
      </w: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hint="eastAsia"/>
        </w:rPr>
      </w:pPr>
    </w:p>
    <w:p>
      <w:pPr>
        <w:keepNext w:val="0"/>
        <w:keepLines w:val="0"/>
        <w:pageBreakBefore w:val="0"/>
        <w:widowControl w:val="0"/>
        <w:kinsoku/>
        <w:wordWrap/>
        <w:overflowPunct/>
        <w:topLinePunct w:val="0"/>
        <w:autoSpaceDE/>
        <w:autoSpaceDN/>
        <w:bidi w:val="0"/>
        <w:adjustRightInd/>
        <w:snapToGrid/>
        <w:spacing w:line="580" w:lineRule="exact"/>
        <w:ind w:firstLine="632" w:firstLineChars="200"/>
        <w:textAlignment w:val="auto"/>
        <w:rPr>
          <w:rFonts w:hint="eastAsia"/>
        </w:rPr>
      </w:pPr>
    </w:p>
    <w:sectPr>
      <w:footerReference r:id="rId3" w:type="default"/>
      <w:pgSz w:w="11906" w:h="16838"/>
      <w:pgMar w:top="2041" w:right="1474" w:bottom="1984" w:left="1587" w:header="851" w:footer="992" w:gutter="0"/>
      <w:pgNumType w:fmt="decimal"/>
      <w:cols w:space="720" w:num="1"/>
      <w:rtlGutter w:val="0"/>
      <w:docGrid w:type="linesAndChars" w:linePitch="582" w:charSpace="-84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简体">
    <w:altName w:val="微软雅黑"/>
    <w:panose1 w:val="02010601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方正小标宋简体">
    <w:panose1 w:val="02010601030101010101"/>
    <w:charset w:val="86"/>
    <w:family w:val="auto"/>
    <w:pitch w:val="default"/>
    <w:sig w:usb0="00000001" w:usb1="080E0000" w:usb2="00000000" w:usb3="00000000" w:csb0="00040000" w:csb1="00000000"/>
  </w:font>
  <w:font w:name="方正楷体简体">
    <w:altName w:val="宋体"/>
    <w:panose1 w:val="03000509000000000000"/>
    <w:charset w:val="86"/>
    <w:family w:val="auto"/>
    <w:pitch w:val="default"/>
    <w:sig w:usb0="00000001" w:usb1="080E0000" w:usb2="00000000" w:usb3="00000000" w:csb0="00040000" w:csb1="00000000"/>
  </w:font>
  <w:font w:name="方正黑体简体">
    <w:altName w:val="微软雅黑"/>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
                            <w:rPr>
                              <w:rFonts w:hint="eastAsia" w:eastAsia="方正仿宋简体"/>
                              <w:sz w:val="28"/>
                              <w:szCs w:val="28"/>
                              <w:lang w:eastAsia="zh-CN"/>
                            </w:rPr>
                          </w:pPr>
                          <w:r>
                            <w:rPr>
                              <w:rFonts w:hint="eastAsia"/>
                              <w:sz w:val="28"/>
                              <w:szCs w:val="28"/>
                              <w:lang w:eastAsia="zh-CN"/>
                            </w:rPr>
                            <w:t xml:space="preserve">— </w:t>
                          </w:r>
                          <w:r>
                            <w:rPr>
                              <w:rFonts w:hint="eastAsia"/>
                              <w:sz w:val="28"/>
                              <w:szCs w:val="28"/>
                              <w:lang w:eastAsia="zh-CN"/>
                            </w:rPr>
                            <w:fldChar w:fldCharType="begin"/>
                          </w:r>
                          <w:r>
                            <w:rPr>
                              <w:rFonts w:hint="eastAsia"/>
                              <w:sz w:val="28"/>
                              <w:szCs w:val="28"/>
                              <w:lang w:eastAsia="zh-CN"/>
                            </w:rPr>
                            <w:instrText xml:space="preserve"> PAGE  \* MERGEFORMAT </w:instrText>
                          </w:r>
                          <w:r>
                            <w:rPr>
                              <w:rFonts w:hint="eastAsia"/>
                              <w:sz w:val="28"/>
                              <w:szCs w:val="28"/>
                              <w:lang w:eastAsia="zh-CN"/>
                            </w:rPr>
                            <w:fldChar w:fldCharType="separate"/>
                          </w:r>
                          <w:r>
                            <w:rPr>
                              <w:rFonts w:hint="eastAsia"/>
                              <w:sz w:val="28"/>
                              <w:szCs w:val="28"/>
                              <w:lang w:eastAsia="zh-CN"/>
                            </w:rPr>
                            <w:t>1</w:t>
                          </w:r>
                          <w:r>
                            <w:rPr>
                              <w:rFonts w:hint="eastAsia"/>
                              <w:sz w:val="28"/>
                              <w:szCs w:val="28"/>
                              <w:lang w:eastAsia="zh-CN"/>
                            </w:rPr>
                            <w:fldChar w:fldCharType="end"/>
                          </w:r>
                          <w:r>
                            <w:rPr>
                              <w:rFonts w:hint="eastAsia"/>
                              <w:sz w:val="28"/>
                              <w:szCs w:val="28"/>
                              <w:lang w:eastAsia="zh-CN"/>
                            </w:rPr>
                            <w:t xml:space="preserve"> —</w:t>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pPr>
                      <w:pStyle w:val="2"/>
                      <w:rPr>
                        <w:rFonts w:hint="eastAsia" w:eastAsia="方正仿宋简体"/>
                        <w:sz w:val="28"/>
                        <w:szCs w:val="28"/>
                        <w:lang w:eastAsia="zh-CN"/>
                      </w:rPr>
                    </w:pPr>
                    <w:r>
                      <w:rPr>
                        <w:rFonts w:hint="eastAsia"/>
                        <w:sz w:val="28"/>
                        <w:szCs w:val="28"/>
                        <w:lang w:eastAsia="zh-CN"/>
                      </w:rPr>
                      <w:t xml:space="preserve">— </w:t>
                    </w:r>
                    <w:r>
                      <w:rPr>
                        <w:rFonts w:hint="eastAsia"/>
                        <w:sz w:val="28"/>
                        <w:szCs w:val="28"/>
                        <w:lang w:eastAsia="zh-CN"/>
                      </w:rPr>
                      <w:fldChar w:fldCharType="begin"/>
                    </w:r>
                    <w:r>
                      <w:rPr>
                        <w:rFonts w:hint="eastAsia"/>
                        <w:sz w:val="28"/>
                        <w:szCs w:val="28"/>
                        <w:lang w:eastAsia="zh-CN"/>
                      </w:rPr>
                      <w:instrText xml:space="preserve"> PAGE  \* MERGEFORMAT </w:instrText>
                    </w:r>
                    <w:r>
                      <w:rPr>
                        <w:rFonts w:hint="eastAsia"/>
                        <w:sz w:val="28"/>
                        <w:szCs w:val="28"/>
                        <w:lang w:eastAsia="zh-CN"/>
                      </w:rPr>
                      <w:fldChar w:fldCharType="separate"/>
                    </w:r>
                    <w:r>
                      <w:rPr>
                        <w:rFonts w:hint="eastAsia"/>
                        <w:sz w:val="28"/>
                        <w:szCs w:val="28"/>
                        <w:lang w:eastAsia="zh-CN"/>
                      </w:rPr>
                      <w:t>1</w:t>
                    </w:r>
                    <w:r>
                      <w:rPr>
                        <w:rFonts w:hint="eastAsia"/>
                        <w:sz w:val="28"/>
                        <w:szCs w:val="28"/>
                        <w:lang w:eastAsia="zh-CN"/>
                      </w:rPr>
                      <w:fldChar w:fldCharType="end"/>
                    </w:r>
                    <w:r>
                      <w:rPr>
                        <w:rFonts w:hint="eastAsia"/>
                        <w:sz w:val="28"/>
                        <w:szCs w:val="28"/>
                        <w:lang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hyphenationZone w:val="360"/>
  <w:drawingGridVerticalSpacing w:val="156"/>
  <w:displayHorizontalDrawingGridEvery w:val="2"/>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7EC643D"/>
    <w:rsid w:val="06026673"/>
    <w:rsid w:val="0D284BAA"/>
    <w:rsid w:val="0F8044D0"/>
    <w:rsid w:val="15B25424"/>
    <w:rsid w:val="253003BA"/>
    <w:rsid w:val="27EC643D"/>
    <w:rsid w:val="315F6EC3"/>
    <w:rsid w:val="34ED6221"/>
    <w:rsid w:val="39E9520D"/>
    <w:rsid w:val="3EBF7998"/>
    <w:rsid w:val="44FA63A3"/>
    <w:rsid w:val="48F41BD0"/>
    <w:rsid w:val="4B221882"/>
    <w:rsid w:val="559F4B03"/>
    <w:rsid w:val="6688719B"/>
    <w:rsid w:val="6D353C0B"/>
    <w:rsid w:val="74377D8E"/>
    <w:rsid w:val="78E124D5"/>
    <w:rsid w:val="CFC921D5"/>
    <w:rsid w:val="CFF10CBF"/>
    <w:rsid w:val="D9EF6FB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方正仿宋简体" w:cs="Times New Roman"/>
      <w:kern w:val="2"/>
      <w:sz w:val="32"/>
      <w:szCs w:val="24"/>
      <w:lang w:val="en-US" w:eastAsia="zh-CN" w:bidi="ar-SA"/>
    </w:rPr>
  </w:style>
  <w:style w:type="character" w:default="1" w:styleId="5">
    <w:name w:val="Default Paragraph Font"/>
    <w:semiHidden/>
    <w:uiPriority w:val="0"/>
  </w:style>
  <w:style w:type="table" w:default="1" w:styleId="4">
    <w:name w:val="Normal Table"/>
    <w:semiHidden/>
    <w:uiPriority w:val="0"/>
    <w:tblPr>
      <w:tblStyle w:val="4"/>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云南省地方金融监管局</Company>
  <Pages>15</Pages>
  <Words>6393</Words>
  <Characters>6400</Characters>
  <Lines>0</Lines>
  <Paragraphs>0</Paragraphs>
  <TotalTime>1.33333333333333</TotalTime>
  <ScaleCrop>false</ScaleCrop>
  <LinksUpToDate>false</LinksUpToDate>
  <CharactersWithSpaces>6488</CharactersWithSpaces>
  <Application>WPS Office_11.1.0.12302_F1E327BC-269C-435d-A152-05C5408002CA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2022-08-12T12:36:00Z</dcterms:created>
  <dc:creator>Administrator</dc:creator>
  <cp:lastModifiedBy>杨希娴</cp:lastModifiedBy>
  <cp:lastPrinted>2022-08-12T16:27:45Z</cp:lastPrinted>
  <dcterms:modified xsi:type="dcterms:W3CDTF">2022-08-12T12:46:28Z</dcterms:modified>
  <dc:title>云南防范和处置非法集资工作实施细则</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2052-11.1.0.12302</vt:lpwstr>
  </property>
  <property fmtid="{D5CDD505-2E9C-101B-9397-08002B2CF9AE}" pid="3" name="ICV">
    <vt:lpwstr>BDBA1DB5EDA84A0D85F08B7994B4E5D4</vt:lpwstr>
  </property>
</Properties>
</file>